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2319" w:rsidRDefault="007D7485" w:rsidP="00BC7FF6">
      <w:pPr>
        <w:jc w:val="center"/>
        <w:rPr>
          <w:b/>
        </w:rPr>
      </w:pPr>
      <w:bookmarkStart w:id="0" w:name="_GoBack"/>
      <w:bookmarkEnd w:id="0"/>
      <w:r>
        <w:rPr>
          <w:b/>
        </w:rPr>
        <w:t xml:space="preserve">EIS Concepts for TUCs and ICB CLINs </w:t>
      </w:r>
    </w:p>
    <w:p w:rsidR="00BC7FF6" w:rsidRDefault="00BC7FF6" w:rsidP="00BC7FF6">
      <w:pPr>
        <w:jc w:val="center"/>
        <w:rPr>
          <w:b/>
        </w:rPr>
      </w:pPr>
    </w:p>
    <w:p w:rsidR="00602436" w:rsidRPr="00602436" w:rsidRDefault="00602436" w:rsidP="00BC7FF6">
      <w:pPr>
        <w:rPr>
          <w:b/>
        </w:rPr>
      </w:pPr>
      <w:r w:rsidRPr="00602436">
        <w:rPr>
          <w:b/>
        </w:rPr>
        <w:t>Background</w:t>
      </w:r>
    </w:p>
    <w:p w:rsidR="00F52724" w:rsidRDefault="004D0EB0" w:rsidP="00BC7FF6">
      <w:r>
        <w:t>GSA’s Enterprise Infrastructure Solutions (</w:t>
      </w:r>
      <w:r w:rsidR="00B502BD">
        <w:t>EIS</w:t>
      </w:r>
      <w:r>
        <w:t>)</w:t>
      </w:r>
      <w:r w:rsidR="00B502BD">
        <w:t xml:space="preserve"> is designed to allow </w:t>
      </w:r>
      <w:r w:rsidR="00F11151">
        <w:t xml:space="preserve">agencies and contractors </w:t>
      </w:r>
      <w:r w:rsidR="00F741DC">
        <w:t xml:space="preserve">significant </w:t>
      </w:r>
      <w:r w:rsidR="00F11151">
        <w:t>flexibility to customize task ord</w:t>
      </w:r>
      <w:r w:rsidR="00F741DC">
        <w:t>ers</w:t>
      </w:r>
      <w:r w:rsidR="00F11151">
        <w:t xml:space="preserve"> </w:t>
      </w:r>
      <w:r w:rsidR="00F52724">
        <w:t>to meet their unique requirements</w:t>
      </w:r>
      <w:r w:rsidR="00F11151">
        <w:t xml:space="preserve">.  </w:t>
      </w:r>
      <w:r w:rsidR="00F52724">
        <w:t>To better accommodate agency requirements</w:t>
      </w:r>
      <w:r w:rsidR="0037174D">
        <w:t>,</w:t>
      </w:r>
      <w:r w:rsidR="00F52724">
        <w:t xml:space="preserve"> </w:t>
      </w:r>
      <w:r w:rsidR="00F11151">
        <w:t xml:space="preserve">EIS </w:t>
      </w:r>
      <w:r w:rsidR="004F4321">
        <w:t xml:space="preserve">includes </w:t>
      </w:r>
      <w:r w:rsidR="00F52724">
        <w:t xml:space="preserve">two CLIN types in addition to </w:t>
      </w:r>
      <w:r w:rsidR="00F741DC">
        <w:t>fixed-</w:t>
      </w:r>
      <w:r w:rsidR="00F52724">
        <w:t xml:space="preserve">price contract CLINs:  </w:t>
      </w:r>
      <w:r w:rsidR="005D129F">
        <w:t>Task Order Unique CLINs</w:t>
      </w:r>
      <w:r w:rsidR="00BC7FF6">
        <w:t xml:space="preserve"> </w:t>
      </w:r>
      <w:r w:rsidR="005D129F">
        <w:t>(</w:t>
      </w:r>
      <w:r w:rsidR="00BC7FF6">
        <w:t>TUCs</w:t>
      </w:r>
      <w:r w:rsidR="005D129F">
        <w:t>)</w:t>
      </w:r>
      <w:r w:rsidR="00F52724">
        <w:t xml:space="preserve"> and Individual Case Basis (ICB) CLINs</w:t>
      </w:r>
      <w:r w:rsidR="00F11151">
        <w:t xml:space="preserve">.  </w:t>
      </w:r>
      <w:r w:rsidR="00A7482E">
        <w:t xml:space="preserve">A key feature of </w:t>
      </w:r>
      <w:r w:rsidR="00E44600">
        <w:t>TUCs</w:t>
      </w:r>
      <w:r w:rsidR="00A7482E">
        <w:t xml:space="preserve"> and </w:t>
      </w:r>
      <w:r w:rsidR="00E44600">
        <w:t>ICB CLINs</w:t>
      </w:r>
      <w:r w:rsidR="00A7482E">
        <w:t xml:space="preserve"> is that neither requires an EIS contract modification</w:t>
      </w:r>
      <w:r w:rsidR="0068548B">
        <w:t xml:space="preserve"> to set the price</w:t>
      </w:r>
      <w:r w:rsidR="00A7482E">
        <w:t xml:space="preserve">.  </w:t>
      </w:r>
      <w:r w:rsidR="0037174D">
        <w:t xml:space="preserve">As a result, these two types of CLINs enable contractors and agencies to handle customized requirements in a streamlined fashion that requires minimal coordination with GSA at the contract level.   </w:t>
      </w:r>
      <w:r w:rsidR="00F52724">
        <w:t xml:space="preserve">The purpose of this paper is to provide additional information </w:t>
      </w:r>
      <w:r w:rsidR="00F741DC">
        <w:t xml:space="preserve">and discussion </w:t>
      </w:r>
      <w:r w:rsidR="00F52724">
        <w:t xml:space="preserve">about these CLIN types to help clarify </w:t>
      </w:r>
      <w:r w:rsidR="00A7482E">
        <w:t>their definition and use</w:t>
      </w:r>
      <w:r w:rsidR="00F52724">
        <w:t>.</w:t>
      </w:r>
    </w:p>
    <w:p w:rsidR="00602436" w:rsidRPr="00602436" w:rsidRDefault="00565F61" w:rsidP="005D129F">
      <w:pPr>
        <w:spacing w:before="100" w:beforeAutospacing="1" w:after="100" w:afterAutospacing="1"/>
        <w:rPr>
          <w:b/>
        </w:rPr>
      </w:pPr>
      <w:r w:rsidRPr="00CF09EE">
        <w:rPr>
          <w:b/>
        </w:rPr>
        <w:t xml:space="preserve">Application of EIS </w:t>
      </w:r>
      <w:r w:rsidR="00602436" w:rsidRPr="001C6BB0">
        <w:rPr>
          <w:b/>
        </w:rPr>
        <w:t>TUCs</w:t>
      </w:r>
      <w:r>
        <w:rPr>
          <w:b/>
        </w:rPr>
        <w:t xml:space="preserve"> </w:t>
      </w:r>
    </w:p>
    <w:p w:rsidR="00F52724" w:rsidRDefault="00F52724" w:rsidP="00F52724">
      <w:r>
        <w:t xml:space="preserve">TUCs </w:t>
      </w:r>
      <w:r w:rsidR="00F741DC">
        <w:t>may</w:t>
      </w:r>
      <w:r w:rsidR="00565F61">
        <w:t xml:space="preserve"> be used in two </w:t>
      </w:r>
      <w:r>
        <w:t>situations:</w:t>
      </w:r>
    </w:p>
    <w:p w:rsidR="00565F61" w:rsidRDefault="00565F61" w:rsidP="00CF09EE">
      <w:pPr>
        <w:pStyle w:val="ListParagraph"/>
        <w:numPr>
          <w:ilvl w:val="0"/>
          <w:numId w:val="8"/>
        </w:numPr>
      </w:pPr>
      <w:r>
        <w:t>To assist in defining special requirements for ordering</w:t>
      </w:r>
      <w:r w:rsidR="001C6BB0">
        <w:t xml:space="preserve"> and billing</w:t>
      </w:r>
      <w:r>
        <w:t xml:space="preserve"> purposes</w:t>
      </w:r>
    </w:p>
    <w:p w:rsidR="00565F61" w:rsidRDefault="00565F61" w:rsidP="00CF09EE">
      <w:pPr>
        <w:pStyle w:val="ListParagraph"/>
        <w:numPr>
          <w:ilvl w:val="0"/>
          <w:numId w:val="8"/>
        </w:numPr>
      </w:pPr>
      <w:r>
        <w:t>T</w:t>
      </w:r>
      <w:r w:rsidRPr="00204420">
        <w:t xml:space="preserve">o combine multiple CLINs </w:t>
      </w:r>
      <w:r>
        <w:t>under a single overarching CLIN</w:t>
      </w:r>
    </w:p>
    <w:p w:rsidR="00BD074E" w:rsidRDefault="00565F61" w:rsidP="00F741DC">
      <w:r>
        <w:t>In the first case, TUCs p</w:t>
      </w:r>
      <w:r w:rsidR="00F52724">
        <w:t xml:space="preserve">rovide agencies the ability to solicit, and contractors the ability to propose, custom solutions that are not otherwise defined and priced on the contract.  These custom solutions can be offered, priced, and ordered without the need for an EIS contract modification. </w:t>
      </w:r>
      <w:r>
        <w:t xml:space="preserve">  In the second case, one or more pre-defined </w:t>
      </w:r>
      <w:r w:rsidR="0037174D">
        <w:t xml:space="preserve">EIS </w:t>
      </w:r>
      <w:r>
        <w:t>CLINs</w:t>
      </w:r>
      <w:r w:rsidR="0037174D">
        <w:t>, identified as component CLINs</w:t>
      </w:r>
      <w:r w:rsidR="005940B3">
        <w:t xml:space="preserve"> within the group</w:t>
      </w:r>
      <w:r w:rsidR="0037174D">
        <w:t>,</w:t>
      </w:r>
      <w:r>
        <w:t xml:space="preserve"> are associated with a single TUC for purposes of ordering the group as though it were a single service</w:t>
      </w:r>
      <w:r w:rsidR="0037174D">
        <w:t xml:space="preserve"> with a single price.</w:t>
      </w:r>
      <w:r w:rsidR="00BD074E">
        <w:t xml:space="preserve"> </w:t>
      </w:r>
    </w:p>
    <w:p w:rsidR="00F741DC" w:rsidRDefault="00F741DC" w:rsidP="00F741DC">
      <w:r>
        <w:t>These two cases for using TUCs under EIS are discussed in greater detail below.</w:t>
      </w:r>
    </w:p>
    <w:p w:rsidR="007D5201" w:rsidRDefault="007D5201" w:rsidP="00565F61">
      <w:r>
        <w:t>TUCs and pricing for TUCs do not require any EIS contract modification.  They are predefined CLINs</w:t>
      </w:r>
      <w:r w:rsidR="00EC4A28">
        <w:t xml:space="preserve"> (used as placeholders without a price)</w:t>
      </w:r>
      <w:r>
        <w:t xml:space="preserve"> under the EIS contract incorporated into the contract databases for pricing</w:t>
      </w:r>
      <w:r w:rsidR="0078100D">
        <w:t>, inventory,</w:t>
      </w:r>
      <w:r>
        <w:t xml:space="preserve"> and billing purposes specific to each </w:t>
      </w:r>
      <w:r w:rsidR="008B1901">
        <w:t>task order (</w:t>
      </w:r>
      <w:r>
        <w:t>TO</w:t>
      </w:r>
      <w:r w:rsidR="008B1901">
        <w:t>)</w:t>
      </w:r>
      <w:r>
        <w:t xml:space="preserve"> only.  TUCs are limited in their application, and are not intended to circumvent or obscure the contract pricing structure.</w:t>
      </w:r>
    </w:p>
    <w:p w:rsidR="00565F61" w:rsidRPr="00CF09EE" w:rsidRDefault="001C6BB0" w:rsidP="00275C88">
      <w:pPr>
        <w:spacing w:before="100" w:beforeAutospacing="1" w:after="100" w:afterAutospacing="1"/>
        <w:rPr>
          <w:b/>
          <w:i/>
        </w:rPr>
      </w:pPr>
      <w:r w:rsidRPr="00CF09EE">
        <w:rPr>
          <w:b/>
          <w:i/>
        </w:rPr>
        <w:t xml:space="preserve">Using </w:t>
      </w:r>
      <w:r w:rsidR="00565F61" w:rsidRPr="00CF09EE">
        <w:rPr>
          <w:b/>
          <w:i/>
        </w:rPr>
        <w:t>TUCs for Unique Agency Requirements</w:t>
      </w:r>
    </w:p>
    <w:p w:rsidR="005D129F" w:rsidRDefault="009D61CF" w:rsidP="005D129F">
      <w:pPr>
        <w:spacing w:before="100" w:beforeAutospacing="1" w:after="100" w:afterAutospacing="1"/>
      </w:pPr>
      <w:r>
        <w:t xml:space="preserve">TUCs are appropriate for use </w:t>
      </w:r>
      <w:r w:rsidR="001E78E2">
        <w:t xml:space="preserve">where </w:t>
      </w:r>
      <w:r w:rsidR="00565F61">
        <w:t xml:space="preserve">custom </w:t>
      </w:r>
      <w:r w:rsidR="001E78E2">
        <w:t xml:space="preserve">agency requirements </w:t>
      </w:r>
      <w:r w:rsidR="00CA42DD">
        <w:t xml:space="preserve">that are in scope </w:t>
      </w:r>
      <w:r w:rsidR="00565F61">
        <w:t>under</w:t>
      </w:r>
      <w:r w:rsidR="00CA42DD">
        <w:t xml:space="preserve"> EIS </w:t>
      </w:r>
      <w:r w:rsidR="001E78E2">
        <w:t>meet</w:t>
      </w:r>
      <w:r>
        <w:t xml:space="preserve"> the following </w:t>
      </w:r>
      <w:r w:rsidR="00CA42DD">
        <w:t xml:space="preserve">two </w:t>
      </w:r>
      <w:r>
        <w:t>conditions:</w:t>
      </w:r>
    </w:p>
    <w:p w:rsidR="007D5201" w:rsidRDefault="00CA42DD" w:rsidP="009D61CF">
      <w:pPr>
        <w:pStyle w:val="ListParagraph"/>
        <w:numPr>
          <w:ilvl w:val="0"/>
          <w:numId w:val="6"/>
        </w:numPr>
        <w:spacing w:before="100" w:beforeAutospacing="1" w:after="100" w:afterAutospacing="1"/>
      </w:pPr>
      <w:r>
        <w:t>The requirements are not defined and p</w:t>
      </w:r>
      <w:r w:rsidR="009D61CF">
        <w:t>ric</w:t>
      </w:r>
      <w:r>
        <w:t>ed</w:t>
      </w:r>
      <w:r w:rsidR="009D61CF">
        <w:t xml:space="preserve"> on the contract</w:t>
      </w:r>
      <w:r w:rsidR="00F741DC">
        <w:t>, and</w:t>
      </w:r>
    </w:p>
    <w:p w:rsidR="009D61CF" w:rsidRDefault="007D5201" w:rsidP="009D61CF">
      <w:pPr>
        <w:pStyle w:val="ListParagraph"/>
        <w:numPr>
          <w:ilvl w:val="0"/>
          <w:numId w:val="6"/>
        </w:numPr>
        <w:spacing w:before="100" w:beforeAutospacing="1" w:after="100" w:afterAutospacing="1"/>
      </w:pPr>
      <w:r>
        <w:t xml:space="preserve">The requirements are not logical additions </w:t>
      </w:r>
      <w:r w:rsidRPr="005D129F">
        <w:t xml:space="preserve">to the contract </w:t>
      </w:r>
      <w:r>
        <w:t xml:space="preserve">under new contract CLINs, such as new </w:t>
      </w:r>
      <w:r w:rsidRPr="005D129F">
        <w:t xml:space="preserve">bandwidths </w:t>
      </w:r>
      <w:r>
        <w:t>for</w:t>
      </w:r>
      <w:r w:rsidRPr="005D129F">
        <w:t xml:space="preserve"> a service </w:t>
      </w:r>
      <w:r>
        <w:t>that are not already on contract</w:t>
      </w:r>
    </w:p>
    <w:p w:rsidR="004D0EB0" w:rsidRDefault="007D5201" w:rsidP="00CF09EE">
      <w:pPr>
        <w:spacing w:before="100" w:beforeAutospacing="1" w:after="100" w:afterAutospacing="1"/>
      </w:pPr>
      <w:r w:rsidRPr="00CF09EE">
        <w:t>In this case</w:t>
      </w:r>
      <w:r w:rsidR="001C6BB0">
        <w:t>,</w:t>
      </w:r>
      <w:r>
        <w:rPr>
          <w:b/>
        </w:rPr>
        <w:t xml:space="preserve"> </w:t>
      </w:r>
      <w:r>
        <w:t>t</w:t>
      </w:r>
      <w:r w:rsidR="00E54F21">
        <w:t>o define and price a TUC, t</w:t>
      </w:r>
      <w:r w:rsidR="005D129F">
        <w:t>he agency</w:t>
      </w:r>
      <w:r w:rsidR="001C6BB0">
        <w:t>,</w:t>
      </w:r>
      <w:r w:rsidR="005D129F">
        <w:t xml:space="preserve"> </w:t>
      </w:r>
      <w:r w:rsidR="00E54F21">
        <w:t>with assistance from</w:t>
      </w:r>
      <w:r w:rsidR="005D129F">
        <w:t xml:space="preserve"> the contracto</w:t>
      </w:r>
      <w:r w:rsidR="001C6BB0">
        <w:t>r</w:t>
      </w:r>
      <w:r w:rsidR="00E54F21">
        <w:t>,</w:t>
      </w:r>
      <w:r w:rsidR="005D129F">
        <w:t xml:space="preserve"> </w:t>
      </w:r>
      <w:r w:rsidR="00E54F21">
        <w:t>determines the EIS service</w:t>
      </w:r>
      <w:r w:rsidR="005D129F">
        <w:t xml:space="preserve"> </w:t>
      </w:r>
      <w:r w:rsidR="00A24158">
        <w:t>(e.g. VPNS, MNS, PLS</w:t>
      </w:r>
      <w:r w:rsidR="00707D8C">
        <w:t>, etc.</w:t>
      </w:r>
      <w:r w:rsidR="00A24158">
        <w:t xml:space="preserve">) </w:t>
      </w:r>
      <w:r w:rsidR="003D25E1">
        <w:t xml:space="preserve">that best </w:t>
      </w:r>
      <w:r w:rsidR="00E54F21">
        <w:t xml:space="preserve">accommodates the requirements to be defined using the TUC.  </w:t>
      </w:r>
      <w:r w:rsidR="001C6BB0">
        <w:t>This service then is used to define the TUC</w:t>
      </w:r>
      <w:r w:rsidR="008B1901">
        <w:t>(</w:t>
      </w:r>
      <w:r w:rsidR="001C6BB0">
        <w:t>s</w:t>
      </w:r>
      <w:r w:rsidR="008B1901">
        <w:t>)</w:t>
      </w:r>
      <w:r w:rsidR="001C6BB0">
        <w:t xml:space="preserve"> for this unique requirement set.</w:t>
      </w:r>
    </w:p>
    <w:p w:rsidR="00982C16" w:rsidRDefault="00707D8C" w:rsidP="00982C16">
      <w:r>
        <w:lastRenderedPageBreak/>
        <w:t xml:space="preserve">Each EIS service </w:t>
      </w:r>
      <w:r w:rsidR="00E879D5">
        <w:t xml:space="preserve">includes </w:t>
      </w:r>
      <w:r>
        <w:t xml:space="preserve">a predefined set of </w:t>
      </w:r>
      <w:r w:rsidR="003D25E1">
        <w:t xml:space="preserve">TUCs </w:t>
      </w:r>
      <w:r>
        <w:t>to</w:t>
      </w:r>
      <w:r w:rsidR="003D25E1" w:rsidRPr="0008158D">
        <w:t xml:space="preserve"> be used </w:t>
      </w:r>
      <w:r w:rsidR="003D25E1">
        <w:t>by</w:t>
      </w:r>
      <w:r w:rsidR="003D25E1" w:rsidRPr="0008158D">
        <w:t xml:space="preserve"> agenc</w:t>
      </w:r>
      <w:r w:rsidR="003D25E1">
        <w:t>ies. Three types of TUCs are defined per service: MRC, NRC, and usage-based.</w:t>
      </w:r>
      <w:r>
        <w:t xml:space="preserve"> </w:t>
      </w:r>
      <w:r w:rsidR="003D25E1" w:rsidRPr="00CF09EE">
        <w:rPr>
          <w:i/>
        </w:rPr>
        <w:t xml:space="preserve">TUCs are </w:t>
      </w:r>
      <w:r w:rsidR="00E54F21" w:rsidRPr="00CF09EE">
        <w:rPr>
          <w:i/>
        </w:rPr>
        <w:t>unique to the TO in terms of both service definition and price.</w:t>
      </w:r>
      <w:r w:rsidR="00EC4A28">
        <w:rPr>
          <w:i/>
        </w:rPr>
        <w:t xml:space="preserve"> </w:t>
      </w:r>
      <w:r w:rsidR="00EC4A28" w:rsidRPr="00275C88">
        <w:t xml:space="preserve">The agency </w:t>
      </w:r>
      <w:r w:rsidR="004F5622" w:rsidRPr="00275C88">
        <w:t>ordering contracting officer (</w:t>
      </w:r>
      <w:r w:rsidR="00EC4A28" w:rsidRPr="00275C88">
        <w:t>OCO</w:t>
      </w:r>
      <w:r w:rsidR="004F5622" w:rsidRPr="00275C88">
        <w:t>)</w:t>
      </w:r>
      <w:r w:rsidR="00EC4A28" w:rsidRPr="00275C88">
        <w:t xml:space="preserve"> determines if the price proposed by the contractor is fair and reasonable.</w:t>
      </w:r>
      <w:r w:rsidR="00E54F21">
        <w:t xml:space="preserve"> </w:t>
      </w:r>
      <w:r w:rsidR="00982C16">
        <w:t>Using a TUC can be done at the initial Fair Opportunity stage, or later as a modification to the task order.</w:t>
      </w:r>
    </w:p>
    <w:p w:rsidR="007D5201" w:rsidRPr="00CF09EE" w:rsidRDefault="007D5201" w:rsidP="00275C88">
      <w:pPr>
        <w:rPr>
          <w:b/>
          <w:i/>
        </w:rPr>
      </w:pPr>
      <w:r w:rsidRPr="00CF09EE">
        <w:rPr>
          <w:b/>
          <w:i/>
        </w:rPr>
        <w:t>Using TUCs for combining CLINs</w:t>
      </w:r>
    </w:p>
    <w:p w:rsidR="007D5201" w:rsidRDefault="007D5201" w:rsidP="007D5201">
      <w:r w:rsidRPr="00204420">
        <w:t>Agencies</w:t>
      </w:r>
      <w:r>
        <w:t xml:space="preserve"> and contractors</w:t>
      </w:r>
      <w:r w:rsidRPr="00204420">
        <w:t xml:space="preserve"> may</w:t>
      </w:r>
      <w:r>
        <w:t xml:space="preserve"> </w:t>
      </w:r>
      <w:r w:rsidRPr="00204420">
        <w:t xml:space="preserve">desire to combine multiple CLINs </w:t>
      </w:r>
      <w:r>
        <w:t>under a single overarching CLIN.  The component CLINs may be any CLIN type, including contract CLINs, ICB CLINs or TUCs.  For these circumstances, a new TUC</w:t>
      </w:r>
      <w:r w:rsidR="004D0EB0">
        <w:t xml:space="preserve"> case</w:t>
      </w:r>
      <w:r>
        <w:t xml:space="preserve"> must be defined as the overarching CLIN</w:t>
      </w:r>
      <w:r w:rsidR="004D0EB0">
        <w:t>/case combination</w:t>
      </w:r>
      <w:r>
        <w:t xml:space="preserve">.  </w:t>
      </w:r>
      <w:r w:rsidRPr="00204420">
        <w:t>For example, an agency may wish to bundle a VPN</w:t>
      </w:r>
      <w:r>
        <w:t>S</w:t>
      </w:r>
      <w:r w:rsidRPr="00204420">
        <w:t xml:space="preserve"> Port CLIN, MNS CLIN, and SRE into one combined CLIN. In these instances, the contractor </w:t>
      </w:r>
      <w:r>
        <w:t>must complete Table B.1.2.12.1 to associate component CLINs with the overarching TUC.  This table is used to</w:t>
      </w:r>
      <w:r w:rsidRPr="00204420">
        <w:t xml:space="preserve"> </w:t>
      </w:r>
      <w:r>
        <w:t>collect</w:t>
      </w:r>
      <w:r w:rsidRPr="00204420">
        <w:t xml:space="preserve"> the necessary components for an accurate inventory</w:t>
      </w:r>
      <w:r>
        <w:t>, among other things</w:t>
      </w:r>
      <w:r w:rsidRPr="00204420">
        <w:t>.</w:t>
      </w:r>
      <w:r w:rsidR="004F5622">
        <w:t xml:space="preserve">  Using a TUC for combining CLINs can be done at the</w:t>
      </w:r>
      <w:r w:rsidR="00982C16">
        <w:t xml:space="preserve"> initial</w:t>
      </w:r>
      <w:r w:rsidR="004F5622">
        <w:t xml:space="preserve"> Fair Op</w:t>
      </w:r>
      <w:r w:rsidR="00982C16">
        <w:t>portunity stage, or later as a modification to the task order.</w:t>
      </w:r>
    </w:p>
    <w:p w:rsidR="007D5201" w:rsidRDefault="007D5201" w:rsidP="007D5201">
      <w:pPr>
        <w:pStyle w:val="Appendix5"/>
        <w:numPr>
          <w:ilvl w:val="0"/>
          <w:numId w:val="0"/>
        </w:numPr>
        <w:ind w:left="1296" w:hanging="1296"/>
      </w:pPr>
      <w:r>
        <w:t xml:space="preserve">B.1.2.12.1 Combined CLIN </w:t>
      </w:r>
      <w:r w:rsidR="00E1644B">
        <w:t>Relationship</w:t>
      </w:r>
      <w:r>
        <w:t xml:space="preserve"> Table</w:t>
      </w:r>
    </w:p>
    <w:tbl>
      <w:tblPr>
        <w:tblW w:w="11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tblPr>
      <w:tblGrid>
        <w:gridCol w:w="666"/>
        <w:gridCol w:w="1111"/>
        <w:gridCol w:w="1297"/>
        <w:gridCol w:w="911"/>
        <w:gridCol w:w="1206"/>
        <w:gridCol w:w="1206"/>
        <w:gridCol w:w="1206"/>
        <w:gridCol w:w="1206"/>
        <w:gridCol w:w="634"/>
        <w:gridCol w:w="625"/>
        <w:gridCol w:w="1153"/>
      </w:tblGrid>
      <w:tr w:rsidR="0068548B" w:rsidRPr="00064A62" w:rsidTr="0068548B">
        <w:trPr>
          <w:cantSplit/>
          <w:trHeight w:val="720"/>
          <w:tblHeader/>
          <w:jc w:val="center"/>
        </w:trPr>
        <w:tc>
          <w:tcPr>
            <w:tcW w:w="0" w:type="auto"/>
            <w:shd w:val="clear" w:color="auto" w:fill="D5DCE4" w:themeFill="text2" w:themeFillTint="33"/>
            <w:vAlign w:val="center"/>
          </w:tcPr>
          <w:p w:rsidR="0068548B" w:rsidRPr="00064A62" w:rsidRDefault="0068548B" w:rsidP="001C6BB0">
            <w:pPr>
              <w:keepNext/>
              <w:spacing w:after="0" w:line="240" w:lineRule="auto"/>
              <w:rPr>
                <w:b/>
                <w:sz w:val="20"/>
                <w:szCs w:val="20"/>
              </w:rPr>
            </w:pPr>
            <w:r>
              <w:rPr>
                <w:b/>
                <w:sz w:val="20"/>
                <w:szCs w:val="20"/>
              </w:rPr>
              <w:t>TUC*</w:t>
            </w:r>
          </w:p>
        </w:tc>
        <w:tc>
          <w:tcPr>
            <w:tcW w:w="0" w:type="auto"/>
            <w:shd w:val="clear" w:color="auto" w:fill="D5DCE4" w:themeFill="text2" w:themeFillTint="33"/>
            <w:vAlign w:val="center"/>
          </w:tcPr>
          <w:p w:rsidR="0068548B" w:rsidRPr="00064A62" w:rsidRDefault="0068548B" w:rsidP="001C6BB0">
            <w:pPr>
              <w:keepNext/>
              <w:spacing w:after="0" w:line="240" w:lineRule="auto"/>
              <w:rPr>
                <w:b/>
                <w:sz w:val="20"/>
                <w:szCs w:val="20"/>
              </w:rPr>
            </w:pPr>
            <w:r>
              <w:rPr>
                <w:b/>
                <w:sz w:val="20"/>
                <w:szCs w:val="20"/>
              </w:rPr>
              <w:t>Task Order Number**</w:t>
            </w:r>
          </w:p>
        </w:tc>
        <w:tc>
          <w:tcPr>
            <w:tcW w:w="0" w:type="auto"/>
            <w:shd w:val="clear" w:color="auto" w:fill="D5DCE4" w:themeFill="text2" w:themeFillTint="33"/>
            <w:vAlign w:val="center"/>
          </w:tcPr>
          <w:p w:rsidR="0068548B" w:rsidRPr="0034308D" w:rsidRDefault="0068548B" w:rsidP="001C6BB0">
            <w:pPr>
              <w:keepNext/>
              <w:spacing w:after="0" w:line="240" w:lineRule="auto"/>
              <w:rPr>
                <w:b/>
                <w:sz w:val="20"/>
                <w:szCs w:val="20"/>
                <w:highlight w:val="yellow"/>
              </w:rPr>
            </w:pPr>
            <w:r w:rsidRPr="008A0F12">
              <w:rPr>
                <w:b/>
                <w:sz w:val="20"/>
                <w:szCs w:val="20"/>
              </w:rPr>
              <w:t>Task Order Modification Number</w:t>
            </w:r>
          </w:p>
        </w:tc>
        <w:tc>
          <w:tcPr>
            <w:tcW w:w="0" w:type="auto"/>
            <w:shd w:val="clear" w:color="auto" w:fill="D5DCE4" w:themeFill="text2" w:themeFillTint="33"/>
            <w:vAlign w:val="center"/>
          </w:tcPr>
          <w:p w:rsidR="0068548B" w:rsidRDefault="0068548B" w:rsidP="001C6BB0">
            <w:pPr>
              <w:keepNext/>
              <w:spacing w:after="0" w:line="240" w:lineRule="auto"/>
              <w:rPr>
                <w:b/>
                <w:sz w:val="20"/>
                <w:szCs w:val="20"/>
              </w:rPr>
            </w:pPr>
            <w:r>
              <w:rPr>
                <w:b/>
                <w:sz w:val="20"/>
                <w:szCs w:val="20"/>
              </w:rPr>
              <w:t>TUC Case Number</w:t>
            </w:r>
          </w:p>
        </w:tc>
        <w:tc>
          <w:tcPr>
            <w:tcW w:w="0" w:type="auto"/>
            <w:shd w:val="clear" w:color="auto" w:fill="D5DCE4" w:themeFill="text2" w:themeFillTint="33"/>
            <w:vAlign w:val="center"/>
          </w:tcPr>
          <w:p w:rsidR="0068548B" w:rsidRDefault="0068548B" w:rsidP="001C6BB0">
            <w:pPr>
              <w:keepNext/>
              <w:spacing w:after="0" w:line="240" w:lineRule="auto"/>
              <w:rPr>
                <w:b/>
                <w:sz w:val="20"/>
                <w:szCs w:val="20"/>
              </w:rPr>
            </w:pPr>
            <w:r>
              <w:rPr>
                <w:b/>
                <w:sz w:val="20"/>
                <w:szCs w:val="20"/>
              </w:rPr>
              <w:t>Component CLINs (1 per row)***</w:t>
            </w:r>
          </w:p>
        </w:tc>
        <w:tc>
          <w:tcPr>
            <w:tcW w:w="0" w:type="auto"/>
            <w:shd w:val="clear" w:color="auto" w:fill="D5DCE4" w:themeFill="text2" w:themeFillTint="33"/>
            <w:vAlign w:val="center"/>
          </w:tcPr>
          <w:p w:rsidR="0068548B" w:rsidRDefault="0068548B" w:rsidP="001C6BB0">
            <w:pPr>
              <w:keepNext/>
              <w:spacing w:after="0" w:line="240" w:lineRule="auto"/>
              <w:rPr>
                <w:b/>
                <w:sz w:val="20"/>
                <w:szCs w:val="20"/>
              </w:rPr>
            </w:pPr>
            <w:r>
              <w:rPr>
                <w:b/>
                <w:sz w:val="20"/>
                <w:szCs w:val="20"/>
              </w:rPr>
              <w:t>Component CLIN Case Number</w:t>
            </w:r>
          </w:p>
        </w:tc>
        <w:tc>
          <w:tcPr>
            <w:tcW w:w="0" w:type="auto"/>
            <w:shd w:val="clear" w:color="auto" w:fill="D5DCE4" w:themeFill="text2" w:themeFillTint="33"/>
          </w:tcPr>
          <w:p w:rsidR="0068548B" w:rsidRDefault="0068548B" w:rsidP="001C6BB0">
            <w:pPr>
              <w:keepNext/>
              <w:spacing w:after="0" w:line="240" w:lineRule="auto"/>
              <w:rPr>
                <w:b/>
                <w:sz w:val="20"/>
                <w:szCs w:val="20"/>
              </w:rPr>
            </w:pPr>
            <w:r>
              <w:rPr>
                <w:b/>
                <w:sz w:val="20"/>
                <w:szCs w:val="20"/>
              </w:rPr>
              <w:t>Component SRE Pricing Element</w:t>
            </w:r>
          </w:p>
        </w:tc>
        <w:tc>
          <w:tcPr>
            <w:tcW w:w="0" w:type="auto"/>
            <w:shd w:val="clear" w:color="auto" w:fill="D5DCE4" w:themeFill="text2" w:themeFillTint="33"/>
            <w:vAlign w:val="center"/>
          </w:tcPr>
          <w:p w:rsidR="0068548B" w:rsidRDefault="0068548B" w:rsidP="001C6BB0">
            <w:pPr>
              <w:keepNext/>
              <w:spacing w:after="0" w:line="240" w:lineRule="auto"/>
              <w:rPr>
                <w:b/>
                <w:sz w:val="20"/>
                <w:szCs w:val="20"/>
              </w:rPr>
            </w:pPr>
            <w:r>
              <w:rPr>
                <w:b/>
                <w:sz w:val="20"/>
                <w:szCs w:val="20"/>
              </w:rPr>
              <w:t>Component CLIN Quantity</w:t>
            </w:r>
          </w:p>
        </w:tc>
        <w:tc>
          <w:tcPr>
            <w:tcW w:w="0" w:type="auto"/>
            <w:shd w:val="clear" w:color="auto" w:fill="D5DCE4" w:themeFill="text2" w:themeFillTint="33"/>
            <w:vAlign w:val="center"/>
          </w:tcPr>
          <w:p w:rsidR="0068548B" w:rsidRDefault="0068548B" w:rsidP="001C6BB0">
            <w:pPr>
              <w:keepNext/>
              <w:spacing w:after="0" w:line="240" w:lineRule="auto"/>
              <w:rPr>
                <w:b/>
                <w:sz w:val="20"/>
                <w:szCs w:val="20"/>
              </w:rPr>
            </w:pPr>
            <w:r>
              <w:rPr>
                <w:b/>
                <w:sz w:val="20"/>
                <w:szCs w:val="20"/>
              </w:rPr>
              <w:t>Start Date</w:t>
            </w:r>
          </w:p>
        </w:tc>
        <w:tc>
          <w:tcPr>
            <w:tcW w:w="0" w:type="auto"/>
            <w:shd w:val="clear" w:color="auto" w:fill="D5DCE4" w:themeFill="text2" w:themeFillTint="33"/>
            <w:vAlign w:val="center"/>
          </w:tcPr>
          <w:p w:rsidR="0068548B" w:rsidRDefault="0068548B" w:rsidP="001C6BB0">
            <w:pPr>
              <w:keepNext/>
              <w:spacing w:after="0" w:line="240" w:lineRule="auto"/>
              <w:rPr>
                <w:b/>
                <w:sz w:val="20"/>
                <w:szCs w:val="20"/>
              </w:rPr>
            </w:pPr>
            <w:r>
              <w:rPr>
                <w:b/>
                <w:sz w:val="20"/>
                <w:szCs w:val="20"/>
              </w:rPr>
              <w:t>Stop Date</w:t>
            </w:r>
          </w:p>
        </w:tc>
        <w:tc>
          <w:tcPr>
            <w:tcW w:w="1153" w:type="dxa"/>
            <w:shd w:val="clear" w:color="auto" w:fill="D5DCE4" w:themeFill="text2" w:themeFillTint="33"/>
            <w:vAlign w:val="center"/>
          </w:tcPr>
          <w:p w:rsidR="0068548B" w:rsidRDefault="0068548B" w:rsidP="001C6BB0">
            <w:pPr>
              <w:keepNext/>
              <w:spacing w:after="0" w:line="240" w:lineRule="auto"/>
              <w:rPr>
                <w:b/>
                <w:sz w:val="20"/>
                <w:szCs w:val="20"/>
              </w:rPr>
            </w:pPr>
            <w:r>
              <w:rPr>
                <w:b/>
                <w:sz w:val="20"/>
                <w:szCs w:val="20"/>
              </w:rPr>
              <w:t>Replaced Date</w:t>
            </w:r>
          </w:p>
        </w:tc>
      </w:tr>
      <w:tr w:rsidR="0068548B" w:rsidRPr="008412C1" w:rsidTr="0068548B">
        <w:trPr>
          <w:cantSplit/>
          <w:trHeight w:val="432"/>
          <w:jc w:val="center"/>
        </w:trPr>
        <w:tc>
          <w:tcPr>
            <w:tcW w:w="0" w:type="auto"/>
            <w:vAlign w:val="center"/>
          </w:tcPr>
          <w:p w:rsidR="0068548B" w:rsidRPr="006A1453" w:rsidRDefault="0068548B" w:rsidP="001C6BB0">
            <w:pPr>
              <w:keepNext/>
              <w:spacing w:after="0" w:line="240" w:lineRule="auto"/>
              <w:rPr>
                <w:sz w:val="18"/>
                <w:szCs w:val="18"/>
              </w:rPr>
            </w:pPr>
          </w:p>
        </w:tc>
        <w:tc>
          <w:tcPr>
            <w:tcW w:w="0" w:type="auto"/>
            <w:vAlign w:val="center"/>
          </w:tcPr>
          <w:p w:rsidR="0068548B" w:rsidRPr="008412C1" w:rsidRDefault="0068548B" w:rsidP="001C6BB0">
            <w:pPr>
              <w:keepNext/>
              <w:spacing w:after="0" w:line="240" w:lineRule="auto"/>
              <w:rPr>
                <w:sz w:val="18"/>
                <w:szCs w:val="18"/>
              </w:rPr>
            </w:pPr>
          </w:p>
        </w:tc>
        <w:tc>
          <w:tcPr>
            <w:tcW w:w="0" w:type="auto"/>
            <w:vAlign w:val="center"/>
          </w:tcPr>
          <w:p w:rsidR="0068548B" w:rsidRPr="0034308D" w:rsidRDefault="0068548B" w:rsidP="001C6BB0">
            <w:pPr>
              <w:keepNext/>
              <w:spacing w:after="0" w:line="240" w:lineRule="auto"/>
              <w:rPr>
                <w:sz w:val="18"/>
                <w:szCs w:val="18"/>
                <w:highlight w:val="yellow"/>
              </w:rPr>
            </w:pPr>
          </w:p>
        </w:tc>
        <w:tc>
          <w:tcPr>
            <w:tcW w:w="0" w:type="auto"/>
            <w:vAlign w:val="center"/>
          </w:tcPr>
          <w:p w:rsidR="0068548B" w:rsidRPr="008412C1" w:rsidRDefault="0068548B" w:rsidP="001C6BB0">
            <w:pPr>
              <w:keepNext/>
              <w:spacing w:after="0" w:line="240" w:lineRule="auto"/>
              <w:rPr>
                <w:sz w:val="18"/>
                <w:szCs w:val="18"/>
              </w:rPr>
            </w:pPr>
          </w:p>
        </w:tc>
        <w:tc>
          <w:tcPr>
            <w:tcW w:w="0" w:type="auto"/>
            <w:vAlign w:val="center"/>
          </w:tcPr>
          <w:p w:rsidR="0068548B" w:rsidRPr="008412C1" w:rsidRDefault="0068548B" w:rsidP="001C6BB0">
            <w:pPr>
              <w:keepNext/>
              <w:spacing w:after="0" w:line="240" w:lineRule="auto"/>
              <w:rPr>
                <w:sz w:val="18"/>
                <w:szCs w:val="18"/>
              </w:rPr>
            </w:pPr>
          </w:p>
        </w:tc>
        <w:tc>
          <w:tcPr>
            <w:tcW w:w="0" w:type="auto"/>
            <w:vAlign w:val="center"/>
          </w:tcPr>
          <w:p w:rsidR="0068548B" w:rsidRPr="008412C1" w:rsidRDefault="0068548B" w:rsidP="001C6BB0">
            <w:pPr>
              <w:keepNext/>
              <w:spacing w:after="0" w:line="240" w:lineRule="auto"/>
              <w:rPr>
                <w:sz w:val="18"/>
                <w:szCs w:val="18"/>
              </w:rPr>
            </w:pPr>
          </w:p>
        </w:tc>
        <w:tc>
          <w:tcPr>
            <w:tcW w:w="0" w:type="auto"/>
          </w:tcPr>
          <w:p w:rsidR="0068548B" w:rsidRPr="008412C1" w:rsidRDefault="0068548B" w:rsidP="001C6BB0">
            <w:pPr>
              <w:keepNext/>
              <w:spacing w:after="0" w:line="240" w:lineRule="auto"/>
              <w:rPr>
                <w:sz w:val="18"/>
                <w:szCs w:val="18"/>
              </w:rPr>
            </w:pPr>
          </w:p>
        </w:tc>
        <w:tc>
          <w:tcPr>
            <w:tcW w:w="0" w:type="auto"/>
            <w:vAlign w:val="center"/>
          </w:tcPr>
          <w:p w:rsidR="0068548B" w:rsidRPr="008412C1" w:rsidRDefault="0068548B" w:rsidP="001C6BB0">
            <w:pPr>
              <w:keepNext/>
              <w:spacing w:after="0" w:line="240" w:lineRule="auto"/>
              <w:rPr>
                <w:sz w:val="18"/>
                <w:szCs w:val="18"/>
              </w:rPr>
            </w:pPr>
          </w:p>
        </w:tc>
        <w:tc>
          <w:tcPr>
            <w:tcW w:w="0" w:type="auto"/>
            <w:vAlign w:val="center"/>
          </w:tcPr>
          <w:p w:rsidR="0068548B" w:rsidRPr="008412C1" w:rsidRDefault="0068548B" w:rsidP="001C6BB0">
            <w:pPr>
              <w:keepNext/>
              <w:spacing w:after="0" w:line="240" w:lineRule="auto"/>
              <w:rPr>
                <w:sz w:val="18"/>
                <w:szCs w:val="18"/>
              </w:rPr>
            </w:pPr>
          </w:p>
        </w:tc>
        <w:tc>
          <w:tcPr>
            <w:tcW w:w="0" w:type="auto"/>
            <w:vAlign w:val="center"/>
          </w:tcPr>
          <w:p w:rsidR="0068548B" w:rsidRPr="008412C1" w:rsidRDefault="0068548B" w:rsidP="001C6BB0">
            <w:pPr>
              <w:keepNext/>
              <w:spacing w:after="0" w:line="240" w:lineRule="auto"/>
              <w:rPr>
                <w:sz w:val="18"/>
                <w:szCs w:val="18"/>
              </w:rPr>
            </w:pPr>
          </w:p>
        </w:tc>
        <w:tc>
          <w:tcPr>
            <w:tcW w:w="1153" w:type="dxa"/>
            <w:vAlign w:val="center"/>
          </w:tcPr>
          <w:p w:rsidR="0068548B" w:rsidRPr="008412C1" w:rsidRDefault="0068548B" w:rsidP="001C6BB0">
            <w:pPr>
              <w:keepNext/>
              <w:spacing w:after="0" w:line="240" w:lineRule="auto"/>
              <w:rPr>
                <w:sz w:val="18"/>
                <w:szCs w:val="18"/>
              </w:rPr>
            </w:pPr>
          </w:p>
        </w:tc>
      </w:tr>
    </w:tbl>
    <w:p w:rsidR="001131AF" w:rsidRDefault="007D5201" w:rsidP="001131AF">
      <w:pPr>
        <w:rPr>
          <w:b/>
        </w:rPr>
      </w:pPr>
      <w:r w:rsidRPr="00340830">
        <w:t>* From the appropriate TUCs of the basic transport service for the combined CLIN set (e.g., VPN</w:t>
      </w:r>
      <w:r>
        <w:t>S</w:t>
      </w:r>
      <w:proofErr w:type="gramStart"/>
      <w:r w:rsidRPr="00340830">
        <w:t>)</w:t>
      </w:r>
      <w:proofErr w:type="gramEnd"/>
      <w:r>
        <w:br/>
      </w:r>
      <w:r w:rsidRPr="00340830">
        <w:t xml:space="preserve">** Applies to </w:t>
      </w:r>
      <w:r>
        <w:t>TO</w:t>
      </w:r>
      <w:r w:rsidRPr="00340830">
        <w:t>s only when awarded</w:t>
      </w:r>
      <w:r>
        <w:br/>
      </w:r>
      <w:r w:rsidRPr="00340830">
        <w:t xml:space="preserve">*** </w:t>
      </w:r>
      <w:r w:rsidR="0068548B">
        <w:t>C</w:t>
      </w:r>
      <w:r w:rsidRPr="00340830">
        <w:t>omponent CLINs associated with the TUC combined CLIN</w:t>
      </w:r>
      <w:r>
        <w:br/>
      </w:r>
    </w:p>
    <w:p w:rsidR="001131AF" w:rsidRDefault="001131AF" w:rsidP="001131AF">
      <w:pPr>
        <w:rPr>
          <w:b/>
        </w:rPr>
      </w:pPr>
      <w:r w:rsidRPr="00CF09EE">
        <w:rPr>
          <w:b/>
        </w:rPr>
        <w:t>ICB CLINs</w:t>
      </w:r>
    </w:p>
    <w:p w:rsidR="001131AF" w:rsidRDefault="001131AF" w:rsidP="001131AF">
      <w:r>
        <w:t xml:space="preserve">In contrast to TUCs, </w:t>
      </w:r>
      <w:r w:rsidRPr="00CF09EE">
        <w:rPr>
          <w:i/>
        </w:rPr>
        <w:t>ICB CLINs are unique only in terms of price</w:t>
      </w:r>
      <w:r>
        <w:t xml:space="preserve"> since the service to be</w:t>
      </w:r>
      <w:r w:rsidR="00B81A9E">
        <w:t xml:space="preserve"> priced is already specified.  </w:t>
      </w:r>
      <w:r>
        <w:t xml:space="preserve">ICB CLINs provide unique identifiers for services that are yet to be fully defined for a particular service under a specific TO.  ICB CLINs are defined </w:t>
      </w:r>
      <w:r w:rsidR="00A7482E">
        <w:t>for various services on the EIS contract</w:t>
      </w:r>
      <w:r>
        <w:t xml:space="preserve"> (e.g. OC12 Access Arrangement) but require additional information to determine the price for the individual case and TO.  For example, OC12 access requires the location, site survey, and other information from the LEC to price the particular instance of the service.</w:t>
      </w:r>
    </w:p>
    <w:p w:rsidR="001131AF" w:rsidRDefault="001131AF" w:rsidP="00CF09EE">
      <w:r>
        <w:t>The information needed to fully define an ICB CLIN</w:t>
      </w:r>
      <w:r w:rsidR="00982C16">
        <w:t xml:space="preserve"> (as well as a TUC)</w:t>
      </w:r>
      <w:r>
        <w:t xml:space="preserve"> required from the contractor for submission to the EIS Contract Management System (ECMS) includes the following:</w:t>
      </w:r>
    </w:p>
    <w:p w:rsidR="001131AF" w:rsidRDefault="001131AF" w:rsidP="00CF09EE">
      <w:pPr>
        <w:pStyle w:val="ListParagraph"/>
        <w:numPr>
          <w:ilvl w:val="0"/>
          <w:numId w:val="7"/>
        </w:numPr>
      </w:pPr>
      <w:r>
        <w:t>Case Description – Text description that contains sufficient information to distinguish one case from another of the same CLIN.</w:t>
      </w:r>
    </w:p>
    <w:p w:rsidR="001131AF" w:rsidRDefault="001131AF" w:rsidP="00CF09EE">
      <w:pPr>
        <w:pStyle w:val="ListParagraph"/>
        <w:numPr>
          <w:ilvl w:val="0"/>
          <w:numId w:val="7"/>
        </w:numPr>
      </w:pPr>
      <w:r>
        <w:t>ICB case number(s) - defined by the contractor to be unique for each CLIN and Case</w:t>
      </w:r>
    </w:p>
    <w:p w:rsidR="001131AF" w:rsidRDefault="001131AF" w:rsidP="00CF09EE">
      <w:pPr>
        <w:pStyle w:val="ListParagraph"/>
        <w:numPr>
          <w:ilvl w:val="0"/>
          <w:numId w:val="7"/>
        </w:numPr>
      </w:pPr>
      <w:r>
        <w:t xml:space="preserve">TO </w:t>
      </w:r>
      <w:r w:rsidR="00DB1ACA">
        <w:t xml:space="preserve">Number </w:t>
      </w:r>
      <w:r>
        <w:t>- ICB CLIN, Case number, description and price must be associated with a specific TO</w:t>
      </w:r>
    </w:p>
    <w:p w:rsidR="00E44600" w:rsidRDefault="00E44600" w:rsidP="00CF09EE">
      <w:pPr>
        <w:spacing w:before="100" w:beforeAutospacing="1" w:after="100" w:afterAutospacing="1"/>
      </w:pPr>
      <w:r w:rsidRPr="004D5805">
        <w:lastRenderedPageBreak/>
        <w:t>The agency ordering contracting officer (OCO) determines if the price proposed by the contractor is fair and reasonable.</w:t>
      </w:r>
      <w:r>
        <w:t xml:space="preserve"> Using </w:t>
      </w:r>
      <w:proofErr w:type="gramStart"/>
      <w:r>
        <w:t>a</w:t>
      </w:r>
      <w:proofErr w:type="gramEnd"/>
      <w:r>
        <w:t xml:space="preserve"> ICB CLIN can be done at the initial Fair Opportunity stage, or later as a modification to the task order.</w:t>
      </w:r>
    </w:p>
    <w:p w:rsidR="004D0EB0" w:rsidRPr="00602436" w:rsidRDefault="00602436" w:rsidP="00CF09EE">
      <w:pPr>
        <w:spacing w:before="100" w:beforeAutospacing="1" w:after="100" w:afterAutospacing="1"/>
        <w:rPr>
          <w:b/>
        </w:rPr>
      </w:pPr>
      <w:r w:rsidRPr="00602436">
        <w:rPr>
          <w:b/>
        </w:rPr>
        <w:t>TUCs</w:t>
      </w:r>
      <w:r>
        <w:rPr>
          <w:b/>
        </w:rPr>
        <w:t xml:space="preserve"> </w:t>
      </w:r>
      <w:r w:rsidR="00E879D5">
        <w:rPr>
          <w:b/>
        </w:rPr>
        <w:t xml:space="preserve">and </w:t>
      </w:r>
      <w:r w:rsidRPr="00602436">
        <w:rPr>
          <w:b/>
        </w:rPr>
        <w:t>ICB CLINs</w:t>
      </w:r>
    </w:p>
    <w:p w:rsidR="00A06B2D" w:rsidRDefault="00A06B2D" w:rsidP="00CF09EE">
      <w:pPr>
        <w:spacing w:before="100" w:beforeAutospacing="1" w:after="100" w:afterAutospacing="1"/>
      </w:pPr>
      <w:r>
        <w:t>TUCs</w:t>
      </w:r>
      <w:r w:rsidR="003D25E1">
        <w:t xml:space="preserve"> </w:t>
      </w:r>
      <w:r w:rsidR="001131AF">
        <w:t xml:space="preserve">and ICB CLINs </w:t>
      </w:r>
      <w:r w:rsidR="003D25E1">
        <w:t xml:space="preserve">are not part of the contract as orderable CLINs until priced and added to the </w:t>
      </w:r>
      <w:r w:rsidR="00D2222F">
        <w:t>TO</w:t>
      </w:r>
      <w:r w:rsidR="003D25E1">
        <w:t>.</w:t>
      </w:r>
      <w:r w:rsidR="00D2222F">
        <w:t xml:space="preserve"> </w:t>
      </w:r>
    </w:p>
    <w:p w:rsidR="003D25E1" w:rsidRDefault="005D1A7B" w:rsidP="005B6C2A">
      <w:r>
        <w:t xml:space="preserve">As stated above, </w:t>
      </w:r>
      <w:r w:rsidR="00AD59FB">
        <w:t>ICB CLINs</w:t>
      </w:r>
      <w:r w:rsidR="00AD59FB" w:rsidDel="00AD59FB">
        <w:t xml:space="preserve"> </w:t>
      </w:r>
      <w:r>
        <w:t>differ</w:t>
      </w:r>
      <w:r w:rsidR="003D25E1">
        <w:t xml:space="preserve"> </w:t>
      </w:r>
      <w:r>
        <w:t xml:space="preserve">from </w:t>
      </w:r>
      <w:r w:rsidR="00AD59FB">
        <w:t xml:space="preserve">TUCs </w:t>
      </w:r>
      <w:r w:rsidR="003D25E1">
        <w:t xml:space="preserve">in that ICB CLINs </w:t>
      </w:r>
      <w:r>
        <w:t>define a specific service, but lack information needed to price the service for a particular instance of the service</w:t>
      </w:r>
      <w:r w:rsidR="00F741DC">
        <w:t xml:space="preserve"> under a particular TO</w:t>
      </w:r>
      <w:r>
        <w:t>.  TUCs</w:t>
      </w:r>
      <w:r w:rsidR="00D2222F">
        <w:t>,</w:t>
      </w:r>
      <w:r w:rsidR="003D25E1">
        <w:t xml:space="preserve"> </w:t>
      </w:r>
      <w:r>
        <w:t xml:space="preserve">on the other hand, lack both the service definition and the information needed to price the service for a particular TO.  </w:t>
      </w:r>
    </w:p>
    <w:p w:rsidR="00BC1CB2" w:rsidRDefault="003D25E1">
      <w:r>
        <w:t>When agencies and contractors define the technical and performance requirements for a custom solution</w:t>
      </w:r>
      <w:r w:rsidR="00AD59FB">
        <w:t xml:space="preserve"> defined for a TUC</w:t>
      </w:r>
      <w:r>
        <w:t xml:space="preserve">, </w:t>
      </w:r>
      <w:r w:rsidR="004F13D7">
        <w:t>the contractors</w:t>
      </w:r>
      <w:r w:rsidR="00D2222F">
        <w:t xml:space="preserve"> </w:t>
      </w:r>
      <w:r w:rsidR="00AD59FB">
        <w:t>must</w:t>
      </w:r>
      <w:r>
        <w:t xml:space="preserve"> include </w:t>
      </w:r>
      <w:r w:rsidR="00AD59FB">
        <w:t xml:space="preserve">case </w:t>
      </w:r>
      <w:r>
        <w:t xml:space="preserve">descriptions for </w:t>
      </w:r>
      <w:r w:rsidR="00AD59FB">
        <w:t>the associated</w:t>
      </w:r>
      <w:r>
        <w:t xml:space="preserve"> TUC</w:t>
      </w:r>
      <w:r w:rsidR="00D2222F">
        <w:t>s just as with ICB CLIN</w:t>
      </w:r>
      <w:r w:rsidR="00AD59FB">
        <w:t>s</w:t>
      </w:r>
      <w:r w:rsidR="00D2222F">
        <w:t>.</w:t>
      </w:r>
      <w:r w:rsidR="001131AF">
        <w:t xml:space="preserve">  In this sense TUCs may also be thought of as a type of ICB CLIN.  However, for TUCs, defining the service generally applies uniquely at the TO level, whereas for ICB CLINs, defining the case usually applies to a location or other individual instance of a predefined service</w:t>
      </w:r>
      <w:r w:rsidR="00E64269">
        <w:t xml:space="preserve"> under the TO.</w:t>
      </w:r>
    </w:p>
    <w:p w:rsidR="004F13D7" w:rsidRDefault="004F13D7">
      <w:pPr>
        <w:rPr>
          <w:b/>
        </w:rPr>
      </w:pPr>
      <w:r>
        <w:rPr>
          <w:b/>
        </w:rPr>
        <w:t>Use cases for an agency requirement</w:t>
      </w:r>
    </w:p>
    <w:p w:rsidR="004F13D7" w:rsidRPr="0008158D" w:rsidRDefault="004F13D7" w:rsidP="004F13D7">
      <w:r>
        <w:t xml:space="preserve">Once an agency has awarded a </w:t>
      </w:r>
      <w:r w:rsidR="00700709">
        <w:t>TO</w:t>
      </w:r>
      <w:r>
        <w:t xml:space="preserve">, they can begin to </w:t>
      </w:r>
      <w:r w:rsidR="00092B37">
        <w:t>order services</w:t>
      </w:r>
      <w:r>
        <w:t xml:space="preserve">.  </w:t>
      </w:r>
      <w:r w:rsidR="00092B37">
        <w:t xml:space="preserve">Orders may </w:t>
      </w:r>
      <w:r>
        <w:t xml:space="preserve">contain fixed price CLINs, ICB CLINs, or TUCs.  Below are </w:t>
      </w:r>
      <w:r w:rsidR="00F7294A">
        <w:t xml:space="preserve">four </w:t>
      </w:r>
      <w:r w:rsidR="00092B37">
        <w:t>examples</w:t>
      </w:r>
      <w:r>
        <w:t xml:space="preserve"> for agency requirement</w:t>
      </w:r>
      <w:r w:rsidR="00092B37">
        <w:t>s</w:t>
      </w:r>
      <w:r>
        <w:t xml:space="preserve"> that </w:t>
      </w:r>
      <w:r w:rsidR="00092B37">
        <w:t>illustrate the application of the three types of CLINs.</w:t>
      </w:r>
    </w:p>
    <w:p w:rsidR="004F13D7" w:rsidRDefault="004F13D7" w:rsidP="004F13D7">
      <w:pPr>
        <w:pStyle w:val="StyleB1"/>
        <w:rPr>
          <w:rFonts w:asciiTheme="minorHAnsi" w:hAnsiTheme="minorHAnsi" w:cstheme="minorBidi"/>
          <w:sz w:val="22"/>
          <w:szCs w:val="22"/>
        </w:rPr>
      </w:pPr>
      <w:r>
        <w:rPr>
          <w:rFonts w:asciiTheme="minorHAnsi" w:hAnsiTheme="minorHAnsi" w:cstheme="minorBidi"/>
          <w:sz w:val="22"/>
          <w:szCs w:val="22"/>
        </w:rPr>
        <w:t>An agency requirement that results in adding a new CLIN to the EIS Contract</w:t>
      </w:r>
    </w:p>
    <w:p w:rsidR="004F13D7" w:rsidRPr="00D2222F" w:rsidRDefault="00092B37" w:rsidP="004F13D7">
      <w:pPr>
        <w:pStyle w:val="StyleB1"/>
        <w:numPr>
          <w:ilvl w:val="1"/>
          <w:numId w:val="1"/>
        </w:numPr>
        <w:rPr>
          <w:rFonts w:asciiTheme="minorHAnsi" w:hAnsiTheme="minorHAnsi" w:cstheme="minorBidi"/>
          <w:sz w:val="22"/>
          <w:szCs w:val="22"/>
        </w:rPr>
      </w:pPr>
      <w:r>
        <w:rPr>
          <w:rFonts w:asciiTheme="minorHAnsi" w:hAnsiTheme="minorHAnsi" w:cstheme="minorBidi"/>
          <w:sz w:val="22"/>
          <w:szCs w:val="22"/>
        </w:rPr>
        <w:t>An agency requires a</w:t>
      </w:r>
      <w:r w:rsidR="004F13D7" w:rsidRPr="00D2222F">
        <w:rPr>
          <w:rFonts w:asciiTheme="minorHAnsi" w:hAnsiTheme="minorHAnsi" w:cstheme="minorBidi"/>
          <w:sz w:val="22"/>
          <w:szCs w:val="22"/>
        </w:rPr>
        <w:t xml:space="preserve"> bandwidth that is not listed on the contract, but logically should be added and defined on the contract as a fixed price item. For example, if CLINs for 10 Mbps, 20 Mbps, and 40 Mbps are defined, but the agency requires a 30 Mbps CLIN, then this 30 Mbps CLIN </w:t>
      </w:r>
      <w:r w:rsidR="00DB1ACA">
        <w:rPr>
          <w:rFonts w:asciiTheme="minorHAnsi" w:hAnsiTheme="minorHAnsi" w:cstheme="minorBidi"/>
          <w:sz w:val="22"/>
          <w:szCs w:val="22"/>
        </w:rPr>
        <w:t>must</w:t>
      </w:r>
      <w:r w:rsidR="00DB1ACA" w:rsidRPr="00D2222F">
        <w:rPr>
          <w:rFonts w:asciiTheme="minorHAnsi" w:hAnsiTheme="minorHAnsi" w:cstheme="minorBidi"/>
          <w:sz w:val="22"/>
          <w:szCs w:val="22"/>
        </w:rPr>
        <w:t xml:space="preserve"> </w:t>
      </w:r>
      <w:r w:rsidR="004F13D7" w:rsidRPr="00D2222F">
        <w:rPr>
          <w:rFonts w:asciiTheme="minorHAnsi" w:hAnsiTheme="minorHAnsi" w:cstheme="minorBidi"/>
          <w:sz w:val="22"/>
          <w:szCs w:val="22"/>
        </w:rPr>
        <w:t xml:space="preserve">be added to the contract with a fixed price </w:t>
      </w:r>
      <w:r w:rsidR="00700709">
        <w:rPr>
          <w:rFonts w:asciiTheme="minorHAnsi" w:hAnsiTheme="minorHAnsi" w:cstheme="minorBidi"/>
          <w:sz w:val="22"/>
          <w:szCs w:val="22"/>
        </w:rPr>
        <w:t xml:space="preserve">via a contract modification </w:t>
      </w:r>
      <w:r w:rsidR="004F13D7" w:rsidRPr="00D2222F">
        <w:rPr>
          <w:rFonts w:asciiTheme="minorHAnsi" w:hAnsiTheme="minorHAnsi" w:cstheme="minorBidi"/>
          <w:sz w:val="22"/>
          <w:szCs w:val="22"/>
        </w:rPr>
        <w:t xml:space="preserve">prior to </w:t>
      </w:r>
      <w:r>
        <w:rPr>
          <w:rFonts w:asciiTheme="minorHAnsi" w:hAnsiTheme="minorHAnsi" w:cstheme="minorBidi"/>
          <w:sz w:val="22"/>
          <w:szCs w:val="22"/>
        </w:rPr>
        <w:t>placing an order under the</w:t>
      </w:r>
      <w:r w:rsidRPr="00D2222F">
        <w:rPr>
          <w:rFonts w:asciiTheme="minorHAnsi" w:hAnsiTheme="minorHAnsi" w:cstheme="minorBidi"/>
          <w:sz w:val="22"/>
          <w:szCs w:val="22"/>
        </w:rPr>
        <w:t xml:space="preserve"> </w:t>
      </w:r>
      <w:r w:rsidR="004F13D7" w:rsidRPr="00D2222F">
        <w:rPr>
          <w:rFonts w:asciiTheme="minorHAnsi" w:hAnsiTheme="minorHAnsi" w:cstheme="minorBidi"/>
          <w:sz w:val="22"/>
          <w:szCs w:val="22"/>
        </w:rPr>
        <w:t>TO.</w:t>
      </w:r>
    </w:p>
    <w:p w:rsidR="00FD0572" w:rsidRDefault="00FD0572" w:rsidP="00FD0572">
      <w:pPr>
        <w:pStyle w:val="StyleB1"/>
        <w:rPr>
          <w:rFonts w:asciiTheme="minorHAnsi" w:hAnsiTheme="minorHAnsi" w:cstheme="minorBidi"/>
          <w:sz w:val="22"/>
          <w:szCs w:val="22"/>
        </w:rPr>
      </w:pPr>
      <w:r>
        <w:rPr>
          <w:rFonts w:asciiTheme="minorHAnsi" w:hAnsiTheme="minorHAnsi" w:cstheme="minorBidi"/>
          <w:sz w:val="22"/>
          <w:szCs w:val="22"/>
        </w:rPr>
        <w:t xml:space="preserve">An agency requirement that results in </w:t>
      </w:r>
      <w:r w:rsidR="005940B3">
        <w:rPr>
          <w:rFonts w:asciiTheme="minorHAnsi" w:hAnsiTheme="minorHAnsi" w:cstheme="minorBidi"/>
          <w:sz w:val="22"/>
          <w:szCs w:val="22"/>
        </w:rPr>
        <w:t xml:space="preserve">establishing </w:t>
      </w:r>
      <w:r>
        <w:rPr>
          <w:rFonts w:asciiTheme="minorHAnsi" w:hAnsiTheme="minorHAnsi" w:cstheme="minorBidi"/>
          <w:sz w:val="22"/>
          <w:szCs w:val="22"/>
        </w:rPr>
        <w:t>a price of an ICB CLIN in the TO</w:t>
      </w:r>
    </w:p>
    <w:p w:rsidR="00FD0572" w:rsidRPr="00FD0572" w:rsidRDefault="00FD0572" w:rsidP="00CF09EE">
      <w:pPr>
        <w:pStyle w:val="StyleB1"/>
        <w:numPr>
          <w:ilvl w:val="1"/>
          <w:numId w:val="1"/>
        </w:numPr>
        <w:rPr>
          <w:rFonts w:asciiTheme="minorHAnsi" w:hAnsiTheme="minorHAnsi" w:cstheme="minorBidi"/>
          <w:sz w:val="22"/>
          <w:szCs w:val="22"/>
        </w:rPr>
      </w:pPr>
      <w:r>
        <w:rPr>
          <w:rFonts w:asciiTheme="minorHAnsi" w:hAnsiTheme="minorHAnsi" w:cstheme="minorBidi"/>
          <w:sz w:val="22"/>
          <w:szCs w:val="22"/>
        </w:rPr>
        <w:t>An agency requires a price for an existing ICB CLIN (e.g. OC192 access to a specific location).  In this case, the contractor provides the price for the ICB CLIN and based on the acceptance by the agency, the price for that ICB CLIN is incorporated in the TO.</w:t>
      </w:r>
      <w:r w:rsidRPr="00D2222F">
        <w:rPr>
          <w:rFonts w:asciiTheme="minorHAnsi" w:hAnsiTheme="minorHAnsi" w:cstheme="minorBidi"/>
          <w:sz w:val="22"/>
          <w:szCs w:val="22"/>
        </w:rPr>
        <w:t xml:space="preserve"> </w:t>
      </w:r>
      <w:r w:rsidR="004D0EB0">
        <w:rPr>
          <w:rFonts w:asciiTheme="minorHAnsi" w:hAnsiTheme="minorHAnsi" w:cstheme="minorBidi"/>
          <w:sz w:val="22"/>
          <w:szCs w:val="22"/>
        </w:rPr>
        <w:t xml:space="preserve"> No EIS contract modification is required.</w:t>
      </w:r>
    </w:p>
    <w:p w:rsidR="004F13D7" w:rsidRDefault="004F13D7" w:rsidP="004F13D7">
      <w:pPr>
        <w:pStyle w:val="StyleB1"/>
        <w:rPr>
          <w:rFonts w:asciiTheme="minorHAnsi" w:hAnsiTheme="minorHAnsi" w:cstheme="minorBidi"/>
          <w:sz w:val="22"/>
          <w:szCs w:val="22"/>
        </w:rPr>
      </w:pPr>
      <w:r>
        <w:rPr>
          <w:rFonts w:asciiTheme="minorHAnsi" w:hAnsiTheme="minorHAnsi" w:cstheme="minorBidi"/>
          <w:sz w:val="22"/>
          <w:szCs w:val="22"/>
        </w:rPr>
        <w:t>An agency requirement that results in adding a</w:t>
      </w:r>
      <w:r w:rsidR="00092B37">
        <w:rPr>
          <w:rFonts w:asciiTheme="minorHAnsi" w:hAnsiTheme="minorHAnsi" w:cstheme="minorBidi"/>
          <w:sz w:val="22"/>
          <w:szCs w:val="22"/>
        </w:rPr>
        <w:t xml:space="preserve">n </w:t>
      </w:r>
      <w:r>
        <w:rPr>
          <w:rFonts w:asciiTheme="minorHAnsi" w:hAnsiTheme="minorHAnsi" w:cstheme="minorBidi"/>
          <w:sz w:val="22"/>
          <w:szCs w:val="22"/>
        </w:rPr>
        <w:t>ICB CLIN to the EIS Contract</w:t>
      </w:r>
    </w:p>
    <w:p w:rsidR="004F13D7" w:rsidRPr="00D2222F" w:rsidRDefault="004F13D7" w:rsidP="004F13D7">
      <w:pPr>
        <w:pStyle w:val="StyleB1"/>
        <w:numPr>
          <w:ilvl w:val="1"/>
          <w:numId w:val="1"/>
        </w:numPr>
        <w:rPr>
          <w:rFonts w:asciiTheme="minorHAnsi" w:hAnsiTheme="minorHAnsi" w:cstheme="minorBidi"/>
          <w:sz w:val="22"/>
          <w:szCs w:val="22"/>
        </w:rPr>
      </w:pPr>
      <w:r w:rsidRPr="00D2222F">
        <w:rPr>
          <w:rFonts w:asciiTheme="minorHAnsi" w:hAnsiTheme="minorHAnsi" w:cstheme="minorBidi"/>
          <w:sz w:val="22"/>
          <w:szCs w:val="22"/>
        </w:rPr>
        <w:t>A bandwidth that is not listed on the contract, but logically should be added and defined on the contract with an ICB CLIN. For example, if CLINs for OC12 and OC192 access are defined, but the agency requires an OC48 access CLIN</w:t>
      </w:r>
      <w:r w:rsidR="00E1644B">
        <w:rPr>
          <w:rFonts w:asciiTheme="minorHAnsi" w:hAnsiTheme="minorHAnsi" w:cstheme="minorBidi"/>
          <w:sz w:val="22"/>
          <w:szCs w:val="22"/>
        </w:rPr>
        <w:t>.  In this case, the</w:t>
      </w:r>
      <w:r w:rsidR="00FD0572">
        <w:rPr>
          <w:rFonts w:asciiTheme="minorHAnsi" w:hAnsiTheme="minorHAnsi" w:cstheme="minorBidi"/>
          <w:sz w:val="22"/>
          <w:szCs w:val="22"/>
        </w:rPr>
        <w:t xml:space="preserve"> </w:t>
      </w:r>
      <w:r w:rsidR="00E1644B">
        <w:rPr>
          <w:rFonts w:asciiTheme="minorHAnsi" w:hAnsiTheme="minorHAnsi" w:cstheme="minorBidi"/>
          <w:sz w:val="22"/>
          <w:szCs w:val="22"/>
        </w:rPr>
        <w:t xml:space="preserve">new ICB CLIN </w:t>
      </w:r>
      <w:r w:rsidR="00DB1ACA">
        <w:rPr>
          <w:rFonts w:asciiTheme="minorHAnsi" w:hAnsiTheme="minorHAnsi" w:cstheme="minorBidi"/>
          <w:sz w:val="22"/>
          <w:szCs w:val="22"/>
        </w:rPr>
        <w:t xml:space="preserve">must </w:t>
      </w:r>
      <w:r w:rsidR="00E1644B">
        <w:rPr>
          <w:rFonts w:asciiTheme="minorHAnsi" w:hAnsiTheme="minorHAnsi" w:cstheme="minorBidi"/>
          <w:sz w:val="22"/>
          <w:szCs w:val="22"/>
        </w:rPr>
        <w:t>be</w:t>
      </w:r>
      <w:r w:rsidRPr="00D2222F">
        <w:rPr>
          <w:rFonts w:asciiTheme="minorHAnsi" w:hAnsiTheme="minorHAnsi" w:cstheme="minorBidi"/>
          <w:sz w:val="22"/>
          <w:szCs w:val="22"/>
        </w:rPr>
        <w:t xml:space="preserve"> added to the </w:t>
      </w:r>
      <w:r w:rsidR="00FD0572">
        <w:rPr>
          <w:rFonts w:asciiTheme="minorHAnsi" w:hAnsiTheme="minorHAnsi" w:cstheme="minorBidi"/>
          <w:sz w:val="22"/>
          <w:szCs w:val="22"/>
        </w:rPr>
        <w:t xml:space="preserve">EIS </w:t>
      </w:r>
      <w:r w:rsidRPr="00D2222F">
        <w:rPr>
          <w:rFonts w:asciiTheme="minorHAnsi" w:hAnsiTheme="minorHAnsi" w:cstheme="minorBidi"/>
          <w:sz w:val="22"/>
          <w:szCs w:val="22"/>
        </w:rPr>
        <w:t>contract</w:t>
      </w:r>
      <w:r w:rsidR="00E1644B">
        <w:rPr>
          <w:rFonts w:asciiTheme="minorHAnsi" w:hAnsiTheme="minorHAnsi" w:cstheme="minorBidi"/>
          <w:sz w:val="22"/>
          <w:szCs w:val="22"/>
        </w:rPr>
        <w:t xml:space="preserve"> </w:t>
      </w:r>
      <w:r w:rsidR="00700709">
        <w:rPr>
          <w:rFonts w:asciiTheme="minorHAnsi" w:hAnsiTheme="minorHAnsi" w:cstheme="minorBidi"/>
          <w:sz w:val="22"/>
          <w:szCs w:val="22"/>
        </w:rPr>
        <w:t xml:space="preserve">via a contract modification </w:t>
      </w:r>
      <w:r w:rsidR="00E1644B">
        <w:rPr>
          <w:rFonts w:asciiTheme="minorHAnsi" w:hAnsiTheme="minorHAnsi" w:cstheme="minorBidi"/>
          <w:sz w:val="22"/>
          <w:szCs w:val="22"/>
        </w:rPr>
        <w:t>before the specific price</w:t>
      </w:r>
      <w:r w:rsidRPr="00D2222F">
        <w:rPr>
          <w:rFonts w:asciiTheme="minorHAnsi" w:hAnsiTheme="minorHAnsi" w:cstheme="minorBidi"/>
          <w:sz w:val="22"/>
          <w:szCs w:val="22"/>
        </w:rPr>
        <w:t xml:space="preserve"> </w:t>
      </w:r>
      <w:r w:rsidR="00E1644B">
        <w:rPr>
          <w:rFonts w:asciiTheme="minorHAnsi" w:hAnsiTheme="minorHAnsi" w:cstheme="minorBidi"/>
          <w:sz w:val="22"/>
          <w:szCs w:val="22"/>
        </w:rPr>
        <w:t xml:space="preserve">is defined in the </w:t>
      </w:r>
      <w:r w:rsidR="00092B37">
        <w:rPr>
          <w:rFonts w:asciiTheme="minorHAnsi" w:hAnsiTheme="minorHAnsi" w:cstheme="minorBidi"/>
          <w:sz w:val="22"/>
          <w:szCs w:val="22"/>
        </w:rPr>
        <w:t>TO</w:t>
      </w:r>
      <w:r w:rsidR="00E1644B">
        <w:rPr>
          <w:rFonts w:asciiTheme="minorHAnsi" w:hAnsiTheme="minorHAnsi" w:cstheme="minorBidi"/>
          <w:sz w:val="22"/>
          <w:szCs w:val="22"/>
        </w:rPr>
        <w:t>.</w:t>
      </w:r>
      <w:r w:rsidR="00092B37" w:rsidRPr="00D2222F">
        <w:rPr>
          <w:rFonts w:asciiTheme="minorHAnsi" w:hAnsiTheme="minorHAnsi" w:cstheme="minorBidi"/>
          <w:sz w:val="22"/>
          <w:szCs w:val="22"/>
        </w:rPr>
        <w:t xml:space="preserve"> </w:t>
      </w:r>
    </w:p>
    <w:p w:rsidR="004F13D7" w:rsidRDefault="004F13D7" w:rsidP="004F13D7">
      <w:pPr>
        <w:pStyle w:val="StyleB1"/>
        <w:spacing w:after="200"/>
        <w:rPr>
          <w:rFonts w:asciiTheme="minorHAnsi" w:hAnsiTheme="minorHAnsi" w:cstheme="minorBidi"/>
          <w:sz w:val="22"/>
          <w:szCs w:val="22"/>
        </w:rPr>
      </w:pPr>
      <w:r>
        <w:rPr>
          <w:rFonts w:asciiTheme="minorHAnsi" w:hAnsiTheme="minorHAnsi" w:cstheme="minorBidi"/>
          <w:sz w:val="22"/>
          <w:szCs w:val="22"/>
        </w:rPr>
        <w:t>An agency requirement that is best met using a TUC</w:t>
      </w:r>
    </w:p>
    <w:p w:rsidR="004F13D7" w:rsidRPr="004F13D7" w:rsidRDefault="004F13D7" w:rsidP="00CF09EE">
      <w:pPr>
        <w:pStyle w:val="StyleB1"/>
        <w:numPr>
          <w:ilvl w:val="1"/>
          <w:numId w:val="1"/>
        </w:numPr>
        <w:spacing w:after="200"/>
      </w:pPr>
      <w:r w:rsidRPr="00D2222F">
        <w:rPr>
          <w:rFonts w:asciiTheme="minorHAnsi" w:hAnsiTheme="minorHAnsi" w:cstheme="minorBidi"/>
          <w:sz w:val="22"/>
          <w:szCs w:val="22"/>
        </w:rPr>
        <w:t>A new item that does not fall into any of the fixed or ICB CLINs for that service</w:t>
      </w:r>
      <w:r w:rsidR="00092B37">
        <w:rPr>
          <w:rFonts w:asciiTheme="minorHAnsi" w:hAnsiTheme="minorHAnsi" w:cstheme="minorBidi"/>
          <w:sz w:val="22"/>
          <w:szCs w:val="22"/>
        </w:rPr>
        <w:t xml:space="preserve"> is required by the agency</w:t>
      </w:r>
      <w:r w:rsidRPr="00D2222F">
        <w:rPr>
          <w:rFonts w:asciiTheme="minorHAnsi" w:hAnsiTheme="minorHAnsi" w:cstheme="minorBidi"/>
          <w:sz w:val="22"/>
          <w:szCs w:val="22"/>
        </w:rPr>
        <w:t xml:space="preserve">. In this instance, the agency and the contractor </w:t>
      </w:r>
      <w:r>
        <w:rPr>
          <w:rFonts w:asciiTheme="minorHAnsi" w:hAnsiTheme="minorHAnsi" w:cstheme="minorBidi"/>
          <w:sz w:val="22"/>
          <w:szCs w:val="22"/>
        </w:rPr>
        <w:t>will</w:t>
      </w:r>
      <w:r w:rsidRPr="00D2222F">
        <w:rPr>
          <w:rFonts w:asciiTheme="minorHAnsi" w:hAnsiTheme="minorHAnsi" w:cstheme="minorBidi"/>
          <w:sz w:val="22"/>
          <w:szCs w:val="22"/>
        </w:rPr>
        <w:t xml:space="preserve"> use the TUCs defined for the specific service. </w:t>
      </w:r>
      <w:r w:rsidR="00400F18">
        <w:rPr>
          <w:rFonts w:asciiTheme="minorHAnsi" w:hAnsiTheme="minorHAnsi" w:cstheme="minorBidi"/>
          <w:sz w:val="22"/>
          <w:szCs w:val="22"/>
        </w:rPr>
        <w:t xml:space="preserve"> No EIS contract modification is required.</w:t>
      </w:r>
    </w:p>
    <w:sectPr w:rsidR="004F13D7" w:rsidRPr="004F13D7" w:rsidSect="00A8302D">
      <w:pgSz w:w="12240" w:h="15840"/>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161F5A7" w15:done="0"/>
  <w15:commentEx w15:paraId="504D5817" w15:paraIdParent="0161F5A7" w15:done="0"/>
  <w15:commentEx w15:paraId="2619A5CB" w15:done="0"/>
  <w15:commentEx w15:paraId="09CA58B5" w15:paraIdParent="2619A5CB" w15:done="0"/>
  <w15:commentEx w15:paraId="40FA10F9" w15:done="0"/>
  <w15:commentEx w15:paraId="3805CC44" w15:paraIdParent="40FA10F9" w15:done="0"/>
  <w15:commentEx w15:paraId="5469F696" w15:done="0"/>
  <w15:commentEx w15:paraId="1A1E0281" w15:paraIdParent="5469F696" w15:done="0"/>
  <w15:commentEx w15:paraId="0025BDA6" w15:done="0"/>
  <w15:commentEx w15:paraId="6FDBD7BF" w15:paraIdParent="0025BDA6" w15:done="0"/>
  <w15:commentEx w15:paraId="42E94506" w15:done="0"/>
  <w15:commentEx w15:paraId="2D594800" w15:paraIdParent="42E94506" w15:done="0"/>
  <w15:commentEx w15:paraId="0A09C81B" w15:done="0"/>
  <w15:commentEx w15:paraId="2DCEC4E1" w15:paraIdParent="0A09C81B" w15:done="0"/>
  <w15:commentEx w15:paraId="344E7C44" w15:done="0"/>
  <w15:commentEx w15:paraId="137EB78E" w15:paraIdParent="344E7C44" w15:done="0"/>
  <w15:commentEx w15:paraId="420208FB" w15:done="0"/>
  <w15:commentEx w15:paraId="72F3CF1F" w15:paraIdParent="420208FB" w15:done="0"/>
  <w15:commentEx w15:paraId="631F5B93" w15:done="0"/>
  <w15:commentEx w15:paraId="4A470F39" w15:paraIdParent="631F5B93" w15:done="0"/>
  <w15:commentEx w15:paraId="450900CD" w15:done="0"/>
  <w15:commentEx w15:paraId="0C80E7DB" w15:paraIdParent="450900CD" w15:done="0"/>
  <w15:commentEx w15:paraId="05708F9E" w15:done="0"/>
</w15:commentsEx>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Lucida Grande">
    <w:altName w:val="Times New Roman"/>
    <w:charset w:val="00"/>
    <w:family w:val="auto"/>
    <w:pitch w:val="variable"/>
    <w:sig w:usb0="00000000" w:usb1="5000A1FF" w:usb2="00000000" w:usb3="00000000" w:csb0="000001B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B24DF"/>
    <w:multiLevelType w:val="multilevel"/>
    <w:tmpl w:val="BA6E8C12"/>
    <w:styleLink w:val="AppendixHeadings"/>
    <w:lvl w:ilvl="0">
      <w:start w:val="1"/>
      <w:numFmt w:val="upperLetter"/>
      <w:lvlText w:val="Appendix %1"/>
      <w:lvlJc w:val="left"/>
      <w:pPr>
        <w:ind w:left="360" w:hanging="360"/>
      </w:pPr>
      <w:rPr>
        <w:rFonts w:ascii="Times New Roman" w:hAnsi="Times New Roman" w:hint="default"/>
      </w:rPr>
    </w:lvl>
    <w:lvl w:ilvl="1">
      <w:start w:val="1"/>
      <w:numFmt w:val="decimal"/>
      <w:pStyle w:val="Appendix2"/>
      <w:lvlText w:val="%1.%2"/>
      <w:lvlJc w:val="left"/>
      <w:pPr>
        <w:ind w:left="864" w:hanging="504"/>
      </w:pPr>
      <w:rPr>
        <w:rFonts w:hint="default"/>
      </w:rPr>
    </w:lvl>
    <w:lvl w:ilvl="2">
      <w:start w:val="1"/>
      <w:numFmt w:val="decimal"/>
      <w:pStyle w:val="Appendix3"/>
      <w:lvlText w:val="%1.%2.%3"/>
      <w:lvlJc w:val="left"/>
      <w:pPr>
        <w:ind w:left="1440" w:hanging="360"/>
      </w:pPr>
      <w:rPr>
        <w:rFonts w:hint="default"/>
      </w:rPr>
    </w:lvl>
    <w:lvl w:ilvl="3">
      <w:start w:val="1"/>
      <w:numFmt w:val="decimal"/>
      <w:pStyle w:val="Appendix4"/>
      <w:lvlText w:val="%1.%2.%3.%4"/>
      <w:lvlJc w:val="left"/>
      <w:pPr>
        <w:ind w:left="1080" w:hanging="1080"/>
      </w:pPr>
      <w:rPr>
        <w:rFonts w:hint="default"/>
      </w:rPr>
    </w:lvl>
    <w:lvl w:ilvl="4">
      <w:start w:val="1"/>
      <w:numFmt w:val="decimal"/>
      <w:pStyle w:val="Appendix5"/>
      <w:lvlText w:val="%1.%2.%3.%4.%5"/>
      <w:lvlJc w:val="left"/>
      <w:pPr>
        <w:ind w:left="360" w:hanging="360"/>
      </w:pPr>
      <w:rPr>
        <w:rFonts w:hint="default"/>
      </w:rPr>
    </w:lvl>
    <w:lvl w:ilvl="5">
      <w:start w:val="1"/>
      <w:numFmt w:val="decimal"/>
      <w:pStyle w:val="Appendix6"/>
      <w:lvlText w:val="%1.%2.%3.%4.%5.%6"/>
      <w:lvlJc w:val="left"/>
      <w:pPr>
        <w:ind w:left="360" w:hanging="360"/>
      </w:pPr>
      <w:rPr>
        <w:rFonts w:hint="default"/>
      </w:rPr>
    </w:lvl>
    <w:lvl w:ilvl="6">
      <w:start w:val="1"/>
      <w:numFmt w:val="decimal"/>
      <w:pStyle w:val="Appendix7"/>
      <w:lvlText w:val="%1.%2.%3.%4.%5.%6.%7"/>
      <w:lvlJc w:val="left"/>
      <w:pPr>
        <w:ind w:left="360" w:hanging="360"/>
      </w:pPr>
      <w:rPr>
        <w:rFonts w:hint="default"/>
      </w:rPr>
    </w:lvl>
    <w:lvl w:ilvl="7">
      <w:start w:val="1"/>
      <w:numFmt w:val="decimal"/>
      <w:pStyle w:val="Appendix8"/>
      <w:lvlText w:val="%1.%2.%3.%4.%5.%6.%7.%8"/>
      <w:lvlJc w:val="left"/>
      <w:pPr>
        <w:ind w:left="360" w:hanging="360"/>
      </w:pPr>
      <w:rPr>
        <w:rFonts w:hint="default"/>
      </w:rPr>
    </w:lvl>
    <w:lvl w:ilvl="8">
      <w:start w:val="1"/>
      <w:numFmt w:val="decimal"/>
      <w:lvlText w:val="%1.%2.%3.%4.%5.%6.%7.%8.%9"/>
      <w:lvlJc w:val="left"/>
      <w:pPr>
        <w:ind w:left="360" w:hanging="360"/>
      </w:pPr>
      <w:rPr>
        <w:rFonts w:hint="default"/>
      </w:rPr>
    </w:lvl>
  </w:abstractNum>
  <w:abstractNum w:abstractNumId="1">
    <w:nsid w:val="1AF447D9"/>
    <w:multiLevelType w:val="hybridMultilevel"/>
    <w:tmpl w:val="02DAA75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4B9315B1"/>
    <w:multiLevelType w:val="hybridMultilevel"/>
    <w:tmpl w:val="43160534"/>
    <w:lvl w:ilvl="0" w:tplc="E40061B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640426AE"/>
    <w:multiLevelType w:val="hybridMultilevel"/>
    <w:tmpl w:val="2F74CC1E"/>
    <w:lvl w:ilvl="0" w:tplc="04090001">
      <w:start w:val="1"/>
      <w:numFmt w:val="bullet"/>
      <w:pStyle w:val="StyleB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3B23499"/>
    <w:multiLevelType w:val="hybridMultilevel"/>
    <w:tmpl w:val="2CB23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74724D5"/>
    <w:multiLevelType w:val="hybridMultilevel"/>
    <w:tmpl w:val="87E4D8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0"/>
    <w:lvlOverride w:ilvl="0">
      <w:lvl w:ilvl="0">
        <w:start w:val="1"/>
        <w:numFmt w:val="upperLetter"/>
        <w:lvlText w:val="Appendix %1"/>
        <w:lvlJc w:val="left"/>
        <w:pPr>
          <w:ind w:left="360" w:hanging="360"/>
        </w:pPr>
        <w:rPr>
          <w:rFonts w:ascii="Times New Roman" w:hAnsi="Times New Roman" w:hint="default"/>
        </w:rPr>
      </w:lvl>
    </w:lvlOverride>
    <w:lvlOverride w:ilvl="1">
      <w:lvl w:ilvl="1">
        <w:start w:val="1"/>
        <w:numFmt w:val="decimal"/>
        <w:pStyle w:val="Appendix2"/>
        <w:lvlText w:val="%1.%2"/>
        <w:lvlJc w:val="left"/>
        <w:pPr>
          <w:ind w:left="864" w:hanging="504"/>
        </w:pPr>
        <w:rPr>
          <w:rFonts w:hint="default"/>
        </w:rPr>
      </w:lvl>
    </w:lvlOverride>
    <w:lvlOverride w:ilvl="2">
      <w:lvl w:ilvl="2">
        <w:start w:val="1"/>
        <w:numFmt w:val="decimal"/>
        <w:pStyle w:val="Appendix3"/>
        <w:lvlText w:val="%1.%2.%3"/>
        <w:lvlJc w:val="left"/>
        <w:pPr>
          <w:ind w:left="1440" w:hanging="360"/>
        </w:pPr>
        <w:rPr>
          <w:rFonts w:hint="default"/>
        </w:rPr>
      </w:lvl>
    </w:lvlOverride>
    <w:lvlOverride w:ilvl="3">
      <w:lvl w:ilvl="3">
        <w:start w:val="1"/>
        <w:numFmt w:val="decimal"/>
        <w:pStyle w:val="Appendix4"/>
        <w:lvlText w:val="%1.%2.%3.%4"/>
        <w:lvlJc w:val="left"/>
        <w:pPr>
          <w:ind w:left="1080" w:hanging="1080"/>
        </w:pPr>
        <w:rPr>
          <w:rFonts w:hint="default"/>
        </w:rPr>
      </w:lvl>
    </w:lvlOverride>
    <w:lvlOverride w:ilvl="4">
      <w:lvl w:ilvl="4">
        <w:start w:val="1"/>
        <w:numFmt w:val="decimal"/>
        <w:pStyle w:val="Appendix5"/>
        <w:lvlText w:val="%1.%2.%3.%4.%5"/>
        <w:lvlJc w:val="left"/>
        <w:pPr>
          <w:ind w:left="360" w:hanging="360"/>
        </w:pPr>
        <w:rPr>
          <w:rFonts w:hint="default"/>
        </w:rPr>
      </w:lvl>
    </w:lvlOverride>
    <w:lvlOverride w:ilvl="5">
      <w:lvl w:ilvl="5">
        <w:start w:val="1"/>
        <w:numFmt w:val="decimal"/>
        <w:pStyle w:val="Appendix6"/>
        <w:lvlText w:val="%1.%2.%3.%4.%5.%6"/>
        <w:lvlJc w:val="left"/>
        <w:pPr>
          <w:ind w:left="360" w:hanging="360"/>
        </w:pPr>
        <w:rPr>
          <w:rFonts w:hint="default"/>
          <w:i/>
        </w:rPr>
      </w:lvl>
    </w:lvlOverride>
    <w:lvlOverride w:ilvl="6">
      <w:lvl w:ilvl="6">
        <w:start w:val="1"/>
        <w:numFmt w:val="decimal"/>
        <w:pStyle w:val="Appendix7"/>
        <w:lvlText w:val="%1.%2.%3.%4.%5.%6.%7"/>
        <w:lvlJc w:val="left"/>
        <w:pPr>
          <w:ind w:left="360" w:hanging="360"/>
        </w:pPr>
        <w:rPr>
          <w:rFonts w:hint="default"/>
          <w:sz w:val="22"/>
          <w:szCs w:val="22"/>
        </w:rPr>
      </w:lvl>
    </w:lvlOverride>
    <w:lvlOverride w:ilvl="7">
      <w:lvl w:ilvl="7">
        <w:start w:val="1"/>
        <w:numFmt w:val="decimal"/>
        <w:pStyle w:val="Appendix8"/>
        <w:lvlText w:val="%1.%2.%3.%4.%5.%6.%7.%8"/>
        <w:lvlJc w:val="left"/>
        <w:pPr>
          <w:ind w:left="360" w:hanging="360"/>
        </w:pPr>
        <w:rPr>
          <w:rFonts w:hint="default"/>
        </w:rPr>
      </w:lvl>
    </w:lvlOverride>
    <w:lvlOverride w:ilvl="8">
      <w:lvl w:ilvl="8">
        <w:start w:val="1"/>
        <w:numFmt w:val="decimal"/>
        <w:lvlText w:val="%1.%2.%3.%4.%5.%6.%7.%8.%9"/>
        <w:lvlJc w:val="left"/>
        <w:pPr>
          <w:ind w:left="360" w:hanging="360"/>
        </w:pPr>
        <w:rPr>
          <w:rFonts w:hint="default"/>
        </w:rPr>
      </w:lvl>
    </w:lvlOverride>
  </w:num>
  <w:num w:numId="4">
    <w:abstractNumId w:val="0"/>
    <w:lvlOverride w:ilvl="0">
      <w:lvl w:ilvl="0">
        <w:start w:val="1"/>
        <w:numFmt w:val="upperLetter"/>
        <w:lvlText w:val="Appendix %1"/>
        <w:lvlJc w:val="left"/>
        <w:pPr>
          <w:ind w:left="360" w:hanging="360"/>
        </w:pPr>
        <w:rPr>
          <w:rFonts w:ascii="Times New Roman" w:hAnsi="Times New Roman" w:hint="default"/>
        </w:rPr>
      </w:lvl>
    </w:lvlOverride>
    <w:lvlOverride w:ilvl="1">
      <w:lvl w:ilvl="1">
        <w:start w:val="1"/>
        <w:numFmt w:val="decimal"/>
        <w:pStyle w:val="Appendix2"/>
        <w:lvlText w:val="%1.%2"/>
        <w:lvlJc w:val="left"/>
        <w:pPr>
          <w:ind w:left="864" w:hanging="504"/>
        </w:pPr>
        <w:rPr>
          <w:rFonts w:hint="default"/>
        </w:rPr>
      </w:lvl>
    </w:lvlOverride>
    <w:lvlOverride w:ilvl="2">
      <w:lvl w:ilvl="2">
        <w:start w:val="1"/>
        <w:numFmt w:val="decimal"/>
        <w:pStyle w:val="Appendix3"/>
        <w:lvlText w:val="%1.%2.%3"/>
        <w:lvlJc w:val="left"/>
        <w:pPr>
          <w:ind w:left="1440" w:hanging="360"/>
        </w:pPr>
        <w:rPr>
          <w:rFonts w:hint="default"/>
        </w:rPr>
      </w:lvl>
    </w:lvlOverride>
    <w:lvlOverride w:ilvl="3">
      <w:lvl w:ilvl="3">
        <w:start w:val="1"/>
        <w:numFmt w:val="decimal"/>
        <w:pStyle w:val="Appendix4"/>
        <w:lvlText w:val="%1.%2.%3.%4"/>
        <w:lvlJc w:val="left"/>
        <w:pPr>
          <w:ind w:left="1080" w:hanging="1080"/>
        </w:pPr>
        <w:rPr>
          <w:rFonts w:hint="default"/>
        </w:rPr>
      </w:lvl>
    </w:lvlOverride>
    <w:lvlOverride w:ilvl="4">
      <w:lvl w:ilvl="4">
        <w:start w:val="1"/>
        <w:numFmt w:val="decimal"/>
        <w:pStyle w:val="Appendix5"/>
        <w:lvlText w:val="%1.%2.%3.%4.%5"/>
        <w:lvlJc w:val="left"/>
        <w:pPr>
          <w:ind w:left="360" w:hanging="360"/>
        </w:pPr>
        <w:rPr>
          <w:rFonts w:hint="default"/>
        </w:rPr>
      </w:lvl>
    </w:lvlOverride>
    <w:lvlOverride w:ilvl="5">
      <w:lvl w:ilvl="5">
        <w:start w:val="1"/>
        <w:numFmt w:val="decimal"/>
        <w:pStyle w:val="Appendix6"/>
        <w:lvlText w:val="%1.%2.%3.%4.%5.%6"/>
        <w:lvlJc w:val="left"/>
        <w:pPr>
          <w:ind w:left="360" w:hanging="360"/>
        </w:pPr>
        <w:rPr>
          <w:rFonts w:hint="default"/>
          <w:b/>
        </w:rPr>
      </w:lvl>
    </w:lvlOverride>
    <w:lvlOverride w:ilvl="6">
      <w:lvl w:ilvl="6">
        <w:start w:val="1"/>
        <w:numFmt w:val="decimal"/>
        <w:pStyle w:val="Appendix7"/>
        <w:lvlText w:val="%1.%2.%3.%4.%5.%6.%7"/>
        <w:lvlJc w:val="left"/>
        <w:pPr>
          <w:ind w:left="360" w:hanging="360"/>
        </w:pPr>
        <w:rPr>
          <w:rFonts w:hint="default"/>
        </w:rPr>
      </w:lvl>
    </w:lvlOverride>
    <w:lvlOverride w:ilvl="7">
      <w:lvl w:ilvl="7">
        <w:start w:val="1"/>
        <w:numFmt w:val="decimal"/>
        <w:pStyle w:val="Appendix8"/>
        <w:lvlText w:val="%1.%2.%3.%4.%5.%6.%7.%8"/>
        <w:lvlJc w:val="left"/>
        <w:pPr>
          <w:ind w:left="360" w:hanging="360"/>
        </w:pPr>
        <w:rPr>
          <w:rFonts w:hint="default"/>
        </w:rPr>
      </w:lvl>
    </w:lvlOverride>
    <w:lvlOverride w:ilvl="8">
      <w:lvl w:ilvl="8">
        <w:start w:val="1"/>
        <w:numFmt w:val="decimal"/>
        <w:lvlText w:val="%1.%2.%3.%4.%5.%6.%7.%8.%9"/>
        <w:lvlJc w:val="left"/>
        <w:pPr>
          <w:ind w:left="360" w:hanging="360"/>
        </w:pPr>
        <w:rPr>
          <w:rFonts w:hint="default"/>
        </w:rPr>
      </w:lvl>
    </w:lvlOverride>
  </w:num>
  <w:num w:numId="5">
    <w:abstractNumId w:val="1"/>
  </w:num>
  <w:num w:numId="6">
    <w:abstractNumId w:val="2"/>
  </w:num>
  <w:num w:numId="7">
    <w:abstractNumId w:val="5"/>
  </w:num>
  <w:num w:numId="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oltys, Jim">
    <w15:presenceInfo w15:providerId="AD" w15:userId="S-1-5-21-466809441-413708789-490281537-372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trackRevisions/>
  <w:defaultTabStop w:val="720"/>
  <w:characterSpacingControl w:val="doNotCompress"/>
  <w:compat/>
  <w:rsids>
    <w:rsidRoot w:val="00BC7FF6"/>
    <w:rsid w:val="0002476B"/>
    <w:rsid w:val="00062FC2"/>
    <w:rsid w:val="00073691"/>
    <w:rsid w:val="0007447A"/>
    <w:rsid w:val="00092B37"/>
    <w:rsid w:val="000F31B7"/>
    <w:rsid w:val="001074A8"/>
    <w:rsid w:val="001131AF"/>
    <w:rsid w:val="00177FEE"/>
    <w:rsid w:val="001A488E"/>
    <w:rsid w:val="001C6BB0"/>
    <w:rsid w:val="001E78E2"/>
    <w:rsid w:val="00220BAB"/>
    <w:rsid w:val="00275C88"/>
    <w:rsid w:val="00275D72"/>
    <w:rsid w:val="0037174D"/>
    <w:rsid w:val="003D25E1"/>
    <w:rsid w:val="003D3A13"/>
    <w:rsid w:val="003F19C0"/>
    <w:rsid w:val="00400F18"/>
    <w:rsid w:val="004D0EB0"/>
    <w:rsid w:val="004F13D7"/>
    <w:rsid w:val="004F4321"/>
    <w:rsid w:val="004F5622"/>
    <w:rsid w:val="00565F61"/>
    <w:rsid w:val="005933F4"/>
    <w:rsid w:val="005940B3"/>
    <w:rsid w:val="005B6C2A"/>
    <w:rsid w:val="005D129F"/>
    <w:rsid w:val="005D1A7B"/>
    <w:rsid w:val="00602436"/>
    <w:rsid w:val="00677506"/>
    <w:rsid w:val="0068548B"/>
    <w:rsid w:val="006F76E3"/>
    <w:rsid w:val="00700709"/>
    <w:rsid w:val="00707D8C"/>
    <w:rsid w:val="0078100D"/>
    <w:rsid w:val="007D14B6"/>
    <w:rsid w:val="007D5201"/>
    <w:rsid w:val="007D7485"/>
    <w:rsid w:val="008830AB"/>
    <w:rsid w:val="008B1901"/>
    <w:rsid w:val="008D251C"/>
    <w:rsid w:val="00951BF4"/>
    <w:rsid w:val="00982C16"/>
    <w:rsid w:val="00984FC4"/>
    <w:rsid w:val="009A0172"/>
    <w:rsid w:val="009D61CF"/>
    <w:rsid w:val="00A06B2D"/>
    <w:rsid w:val="00A24158"/>
    <w:rsid w:val="00A7482E"/>
    <w:rsid w:val="00A8302D"/>
    <w:rsid w:val="00AC7E8E"/>
    <w:rsid w:val="00AD59FB"/>
    <w:rsid w:val="00AF2319"/>
    <w:rsid w:val="00B34F88"/>
    <w:rsid w:val="00B502BD"/>
    <w:rsid w:val="00B81A9E"/>
    <w:rsid w:val="00BC1CB2"/>
    <w:rsid w:val="00BC7FF6"/>
    <w:rsid w:val="00BD074E"/>
    <w:rsid w:val="00C25342"/>
    <w:rsid w:val="00C42639"/>
    <w:rsid w:val="00C66F81"/>
    <w:rsid w:val="00CA21CF"/>
    <w:rsid w:val="00CA42DD"/>
    <w:rsid w:val="00CB0232"/>
    <w:rsid w:val="00CF074C"/>
    <w:rsid w:val="00CF09EE"/>
    <w:rsid w:val="00D2222F"/>
    <w:rsid w:val="00DB1ACA"/>
    <w:rsid w:val="00DF015F"/>
    <w:rsid w:val="00E1644B"/>
    <w:rsid w:val="00E44600"/>
    <w:rsid w:val="00E54F21"/>
    <w:rsid w:val="00E64269"/>
    <w:rsid w:val="00E879D5"/>
    <w:rsid w:val="00EC4A28"/>
    <w:rsid w:val="00F11151"/>
    <w:rsid w:val="00F52724"/>
    <w:rsid w:val="00F7294A"/>
    <w:rsid w:val="00F741DC"/>
    <w:rsid w:val="00FD057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14B6"/>
  </w:style>
  <w:style w:type="paragraph" w:styleId="Heading2">
    <w:name w:val="heading 2"/>
    <w:basedOn w:val="Normal"/>
    <w:next w:val="Normal"/>
    <w:link w:val="Heading2Char"/>
    <w:uiPriority w:val="9"/>
    <w:semiHidden/>
    <w:unhideWhenUsed/>
    <w:qFormat/>
    <w:rsid w:val="00BC7FF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BC7FF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B1">
    <w:name w:val="StyleB1"/>
    <w:basedOn w:val="ListParagraph"/>
    <w:link w:val="StyleB1Char"/>
    <w:rsid w:val="00BC7FF6"/>
    <w:pPr>
      <w:numPr>
        <w:numId w:val="1"/>
      </w:numPr>
      <w:spacing w:before="120" w:after="120" w:line="276" w:lineRule="auto"/>
      <w:contextualSpacing w:val="0"/>
    </w:pPr>
    <w:rPr>
      <w:rFonts w:ascii="Arial" w:hAnsi="Arial" w:cs="Arial"/>
      <w:sz w:val="24"/>
      <w:szCs w:val="24"/>
    </w:rPr>
  </w:style>
  <w:style w:type="character" w:customStyle="1" w:styleId="StyleB1Char">
    <w:name w:val="StyleB1 Char"/>
    <w:basedOn w:val="DefaultParagraphFont"/>
    <w:link w:val="StyleB1"/>
    <w:rsid w:val="00BC7FF6"/>
    <w:rPr>
      <w:rFonts w:ascii="Arial" w:hAnsi="Arial" w:cs="Arial"/>
      <w:sz w:val="24"/>
      <w:szCs w:val="24"/>
    </w:rPr>
  </w:style>
  <w:style w:type="paragraph" w:styleId="ListParagraph">
    <w:name w:val="List Paragraph"/>
    <w:basedOn w:val="Normal"/>
    <w:uiPriority w:val="34"/>
    <w:qFormat/>
    <w:rsid w:val="00BC7FF6"/>
    <w:pPr>
      <w:ind w:left="720"/>
      <w:contextualSpacing/>
    </w:pPr>
  </w:style>
  <w:style w:type="paragraph" w:customStyle="1" w:styleId="Appendix2">
    <w:name w:val="Appendix 2"/>
    <w:basedOn w:val="Heading2"/>
    <w:next w:val="Normal"/>
    <w:qFormat/>
    <w:rsid w:val="00BC7FF6"/>
    <w:pPr>
      <w:numPr>
        <w:ilvl w:val="1"/>
        <w:numId w:val="2"/>
      </w:numPr>
      <w:tabs>
        <w:tab w:val="num" w:pos="360"/>
      </w:tabs>
      <w:spacing w:before="200" w:after="120" w:line="240" w:lineRule="auto"/>
      <w:ind w:left="576" w:hanging="576"/>
    </w:pPr>
    <w:rPr>
      <w:b/>
      <w:color w:val="auto"/>
      <w:sz w:val="28"/>
      <w:szCs w:val="28"/>
    </w:rPr>
  </w:style>
  <w:style w:type="paragraph" w:customStyle="1" w:styleId="Appendix3">
    <w:name w:val="Appendix 3"/>
    <w:basedOn w:val="Heading3"/>
    <w:next w:val="Normal"/>
    <w:qFormat/>
    <w:rsid w:val="00BC7FF6"/>
    <w:pPr>
      <w:keepLines w:val="0"/>
      <w:numPr>
        <w:ilvl w:val="2"/>
        <w:numId w:val="2"/>
      </w:numPr>
      <w:shd w:val="clear" w:color="auto" w:fill="FFFFFF" w:themeFill="background1"/>
      <w:spacing w:before="200" w:line="240" w:lineRule="auto"/>
      <w:ind w:left="864" w:hanging="864"/>
    </w:pPr>
    <w:rPr>
      <w:b/>
      <w:bCs/>
      <w:color w:val="auto"/>
      <w:sz w:val="26"/>
      <w:szCs w:val="26"/>
    </w:rPr>
  </w:style>
  <w:style w:type="numbering" w:customStyle="1" w:styleId="AppendixHeadings">
    <w:name w:val="Appendix Headings"/>
    <w:uiPriority w:val="99"/>
    <w:rsid w:val="00BC7FF6"/>
    <w:pPr>
      <w:numPr>
        <w:numId w:val="2"/>
      </w:numPr>
    </w:pPr>
  </w:style>
  <w:style w:type="paragraph" w:customStyle="1" w:styleId="Appendix4">
    <w:name w:val="Appendix 4"/>
    <w:basedOn w:val="Appendix3"/>
    <w:qFormat/>
    <w:rsid w:val="00BC7FF6"/>
    <w:pPr>
      <w:numPr>
        <w:ilvl w:val="3"/>
      </w:numPr>
      <w:spacing w:after="120"/>
    </w:pPr>
    <w:rPr>
      <w:rFonts w:eastAsia="Times New Roman"/>
      <w:sz w:val="24"/>
      <w:szCs w:val="24"/>
    </w:rPr>
  </w:style>
  <w:style w:type="paragraph" w:customStyle="1" w:styleId="Appendix5">
    <w:name w:val="Appendix 5"/>
    <w:basedOn w:val="Appendix4"/>
    <w:link w:val="Appendix5Char"/>
    <w:qFormat/>
    <w:rsid w:val="00BC7FF6"/>
    <w:pPr>
      <w:numPr>
        <w:ilvl w:val="4"/>
      </w:numPr>
      <w:ind w:left="1296" w:hanging="1296"/>
    </w:pPr>
    <w:rPr>
      <w:i/>
    </w:rPr>
  </w:style>
  <w:style w:type="paragraph" w:customStyle="1" w:styleId="Appendix6">
    <w:name w:val="Appendix 6"/>
    <w:basedOn w:val="Appendix5"/>
    <w:qFormat/>
    <w:rsid w:val="00BC7FF6"/>
    <w:pPr>
      <w:numPr>
        <w:ilvl w:val="5"/>
      </w:numPr>
      <w:shd w:val="clear" w:color="auto" w:fill="auto"/>
      <w:tabs>
        <w:tab w:val="num" w:pos="360"/>
      </w:tabs>
      <w:outlineLvl w:val="9"/>
    </w:pPr>
    <w:rPr>
      <w:sz w:val="22"/>
      <w:szCs w:val="22"/>
    </w:rPr>
  </w:style>
  <w:style w:type="character" w:customStyle="1" w:styleId="Appendix5Char">
    <w:name w:val="Appendix 5 Char"/>
    <w:basedOn w:val="DefaultParagraphFont"/>
    <w:link w:val="Appendix5"/>
    <w:rsid w:val="00BC7FF6"/>
    <w:rPr>
      <w:rFonts w:asciiTheme="majorHAnsi" w:eastAsia="Times New Roman" w:hAnsiTheme="majorHAnsi" w:cstheme="majorBidi"/>
      <w:b/>
      <w:bCs/>
      <w:i/>
      <w:sz w:val="24"/>
      <w:szCs w:val="24"/>
      <w:shd w:val="clear" w:color="auto" w:fill="FFFFFF" w:themeFill="background1"/>
    </w:rPr>
  </w:style>
  <w:style w:type="paragraph" w:customStyle="1" w:styleId="Appendix7">
    <w:name w:val="Appendix 7"/>
    <w:basedOn w:val="Appendix6"/>
    <w:qFormat/>
    <w:rsid w:val="00BC7FF6"/>
    <w:pPr>
      <w:numPr>
        <w:ilvl w:val="6"/>
      </w:numPr>
      <w:tabs>
        <w:tab w:val="num" w:pos="360"/>
      </w:tabs>
      <w:ind w:left="1699" w:hanging="1512"/>
    </w:pPr>
  </w:style>
  <w:style w:type="paragraph" w:customStyle="1" w:styleId="Appendix8">
    <w:name w:val="Appendix 8"/>
    <w:basedOn w:val="Appendix7"/>
    <w:qFormat/>
    <w:rsid w:val="00BC7FF6"/>
    <w:pPr>
      <w:numPr>
        <w:ilvl w:val="7"/>
      </w:numPr>
      <w:tabs>
        <w:tab w:val="num" w:pos="360"/>
      </w:tabs>
      <w:ind w:left="2088" w:hanging="1512"/>
    </w:pPr>
  </w:style>
  <w:style w:type="character" w:customStyle="1" w:styleId="Heading2Char">
    <w:name w:val="Heading 2 Char"/>
    <w:basedOn w:val="DefaultParagraphFont"/>
    <w:link w:val="Heading2"/>
    <w:uiPriority w:val="9"/>
    <w:semiHidden/>
    <w:rsid w:val="00BC7FF6"/>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BC7FF6"/>
    <w:rPr>
      <w:rFonts w:asciiTheme="majorHAnsi" w:eastAsiaTheme="majorEastAsia" w:hAnsiTheme="majorHAnsi" w:cstheme="majorBidi"/>
      <w:color w:val="1F4D78" w:themeColor="accent1" w:themeShade="7F"/>
      <w:sz w:val="24"/>
      <w:szCs w:val="24"/>
    </w:rPr>
  </w:style>
  <w:style w:type="paragraph" w:styleId="BalloonText">
    <w:name w:val="Balloon Text"/>
    <w:basedOn w:val="Normal"/>
    <w:link w:val="BalloonTextChar"/>
    <w:uiPriority w:val="99"/>
    <w:semiHidden/>
    <w:unhideWhenUsed/>
    <w:rsid w:val="004F4321"/>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F4321"/>
    <w:rPr>
      <w:rFonts w:ascii="Lucida Grande" w:hAnsi="Lucida Grande" w:cs="Lucida Grande"/>
      <w:sz w:val="18"/>
      <w:szCs w:val="18"/>
    </w:rPr>
  </w:style>
  <w:style w:type="character" w:styleId="CommentReference">
    <w:name w:val="annotation reference"/>
    <w:basedOn w:val="DefaultParagraphFont"/>
    <w:uiPriority w:val="99"/>
    <w:semiHidden/>
    <w:unhideWhenUsed/>
    <w:rsid w:val="000F31B7"/>
    <w:rPr>
      <w:sz w:val="18"/>
      <w:szCs w:val="18"/>
    </w:rPr>
  </w:style>
  <w:style w:type="paragraph" w:styleId="CommentText">
    <w:name w:val="annotation text"/>
    <w:basedOn w:val="Normal"/>
    <w:link w:val="CommentTextChar"/>
    <w:uiPriority w:val="99"/>
    <w:semiHidden/>
    <w:unhideWhenUsed/>
    <w:rsid w:val="000F31B7"/>
    <w:pPr>
      <w:spacing w:line="240" w:lineRule="auto"/>
    </w:pPr>
    <w:rPr>
      <w:sz w:val="24"/>
      <w:szCs w:val="24"/>
    </w:rPr>
  </w:style>
  <w:style w:type="character" w:customStyle="1" w:styleId="CommentTextChar">
    <w:name w:val="Comment Text Char"/>
    <w:basedOn w:val="DefaultParagraphFont"/>
    <w:link w:val="CommentText"/>
    <w:uiPriority w:val="99"/>
    <w:semiHidden/>
    <w:rsid w:val="000F31B7"/>
    <w:rPr>
      <w:sz w:val="24"/>
      <w:szCs w:val="24"/>
    </w:rPr>
  </w:style>
  <w:style w:type="paragraph" w:styleId="CommentSubject">
    <w:name w:val="annotation subject"/>
    <w:basedOn w:val="CommentText"/>
    <w:next w:val="CommentText"/>
    <w:link w:val="CommentSubjectChar"/>
    <w:uiPriority w:val="99"/>
    <w:semiHidden/>
    <w:unhideWhenUsed/>
    <w:rsid w:val="000F31B7"/>
    <w:rPr>
      <w:b/>
      <w:bCs/>
      <w:sz w:val="20"/>
      <w:szCs w:val="20"/>
    </w:rPr>
  </w:style>
  <w:style w:type="character" w:customStyle="1" w:styleId="CommentSubjectChar">
    <w:name w:val="Comment Subject Char"/>
    <w:basedOn w:val="CommentTextChar"/>
    <w:link w:val="CommentSubject"/>
    <w:uiPriority w:val="99"/>
    <w:semiHidden/>
    <w:rsid w:val="000F31B7"/>
    <w:rPr>
      <w:b/>
      <w:bCs/>
      <w:sz w:val="20"/>
      <w:szCs w:val="20"/>
    </w:rPr>
  </w:style>
  <w:style w:type="paragraph" w:styleId="Revision">
    <w:name w:val="Revision"/>
    <w:hidden/>
    <w:uiPriority w:val="99"/>
    <w:semiHidden/>
    <w:rsid w:val="007D5201"/>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BC7FF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BC7FF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B1">
    <w:name w:val="StyleB1"/>
    <w:basedOn w:val="ListParagraph"/>
    <w:link w:val="StyleB1Char"/>
    <w:rsid w:val="00BC7FF6"/>
    <w:pPr>
      <w:numPr>
        <w:numId w:val="1"/>
      </w:numPr>
      <w:spacing w:before="120" w:after="120" w:line="276" w:lineRule="auto"/>
      <w:contextualSpacing w:val="0"/>
    </w:pPr>
    <w:rPr>
      <w:rFonts w:ascii="Arial" w:hAnsi="Arial" w:cs="Arial"/>
      <w:sz w:val="24"/>
      <w:szCs w:val="24"/>
    </w:rPr>
  </w:style>
  <w:style w:type="character" w:customStyle="1" w:styleId="StyleB1Char">
    <w:name w:val="StyleB1 Char"/>
    <w:basedOn w:val="DefaultParagraphFont"/>
    <w:link w:val="StyleB1"/>
    <w:rsid w:val="00BC7FF6"/>
    <w:rPr>
      <w:rFonts w:ascii="Arial" w:hAnsi="Arial" w:cs="Arial"/>
      <w:sz w:val="24"/>
      <w:szCs w:val="24"/>
    </w:rPr>
  </w:style>
  <w:style w:type="paragraph" w:styleId="ListParagraph">
    <w:name w:val="List Paragraph"/>
    <w:basedOn w:val="Normal"/>
    <w:uiPriority w:val="34"/>
    <w:qFormat/>
    <w:rsid w:val="00BC7FF6"/>
    <w:pPr>
      <w:ind w:left="720"/>
      <w:contextualSpacing/>
    </w:pPr>
  </w:style>
  <w:style w:type="paragraph" w:customStyle="1" w:styleId="Appendix2">
    <w:name w:val="Appendix 2"/>
    <w:basedOn w:val="Heading2"/>
    <w:next w:val="Normal"/>
    <w:qFormat/>
    <w:rsid w:val="00BC7FF6"/>
    <w:pPr>
      <w:numPr>
        <w:ilvl w:val="1"/>
        <w:numId w:val="2"/>
      </w:numPr>
      <w:tabs>
        <w:tab w:val="num" w:pos="360"/>
      </w:tabs>
      <w:spacing w:before="200" w:after="120" w:line="240" w:lineRule="auto"/>
      <w:ind w:left="576" w:hanging="576"/>
    </w:pPr>
    <w:rPr>
      <w:b/>
      <w:color w:val="auto"/>
      <w:sz w:val="28"/>
      <w:szCs w:val="28"/>
    </w:rPr>
  </w:style>
  <w:style w:type="paragraph" w:customStyle="1" w:styleId="Appendix3">
    <w:name w:val="Appendix 3"/>
    <w:basedOn w:val="Heading3"/>
    <w:next w:val="Normal"/>
    <w:qFormat/>
    <w:rsid w:val="00BC7FF6"/>
    <w:pPr>
      <w:keepLines w:val="0"/>
      <w:numPr>
        <w:ilvl w:val="2"/>
        <w:numId w:val="2"/>
      </w:numPr>
      <w:shd w:val="clear" w:color="auto" w:fill="FFFFFF" w:themeFill="background1"/>
      <w:spacing w:before="200" w:line="240" w:lineRule="auto"/>
      <w:ind w:left="864" w:hanging="864"/>
    </w:pPr>
    <w:rPr>
      <w:b/>
      <w:bCs/>
      <w:color w:val="auto"/>
      <w:sz w:val="26"/>
      <w:szCs w:val="26"/>
    </w:rPr>
  </w:style>
  <w:style w:type="numbering" w:customStyle="1" w:styleId="AppendixHeadings">
    <w:name w:val="Appendix Headings"/>
    <w:uiPriority w:val="99"/>
    <w:rsid w:val="00BC7FF6"/>
    <w:pPr>
      <w:numPr>
        <w:numId w:val="2"/>
      </w:numPr>
    </w:pPr>
  </w:style>
  <w:style w:type="paragraph" w:customStyle="1" w:styleId="Appendix4">
    <w:name w:val="Appendix 4"/>
    <w:basedOn w:val="Appendix3"/>
    <w:qFormat/>
    <w:rsid w:val="00BC7FF6"/>
    <w:pPr>
      <w:numPr>
        <w:ilvl w:val="3"/>
      </w:numPr>
      <w:spacing w:after="120"/>
    </w:pPr>
    <w:rPr>
      <w:rFonts w:eastAsia="Times New Roman"/>
      <w:sz w:val="24"/>
      <w:szCs w:val="24"/>
    </w:rPr>
  </w:style>
  <w:style w:type="paragraph" w:customStyle="1" w:styleId="Appendix5">
    <w:name w:val="Appendix 5"/>
    <w:basedOn w:val="Appendix4"/>
    <w:link w:val="Appendix5Char"/>
    <w:qFormat/>
    <w:rsid w:val="00BC7FF6"/>
    <w:pPr>
      <w:numPr>
        <w:ilvl w:val="4"/>
      </w:numPr>
      <w:ind w:left="1296" w:hanging="1296"/>
    </w:pPr>
    <w:rPr>
      <w:i/>
    </w:rPr>
  </w:style>
  <w:style w:type="paragraph" w:customStyle="1" w:styleId="Appendix6">
    <w:name w:val="Appendix 6"/>
    <w:basedOn w:val="Appendix5"/>
    <w:qFormat/>
    <w:rsid w:val="00BC7FF6"/>
    <w:pPr>
      <w:numPr>
        <w:ilvl w:val="5"/>
      </w:numPr>
      <w:shd w:val="clear" w:color="auto" w:fill="auto"/>
      <w:tabs>
        <w:tab w:val="num" w:pos="360"/>
      </w:tabs>
      <w:outlineLvl w:val="9"/>
    </w:pPr>
    <w:rPr>
      <w:sz w:val="22"/>
      <w:szCs w:val="22"/>
    </w:rPr>
  </w:style>
  <w:style w:type="character" w:customStyle="1" w:styleId="Appendix5Char">
    <w:name w:val="Appendix 5 Char"/>
    <w:basedOn w:val="DefaultParagraphFont"/>
    <w:link w:val="Appendix5"/>
    <w:rsid w:val="00BC7FF6"/>
    <w:rPr>
      <w:rFonts w:asciiTheme="majorHAnsi" w:eastAsia="Times New Roman" w:hAnsiTheme="majorHAnsi" w:cstheme="majorBidi"/>
      <w:b/>
      <w:bCs/>
      <w:i/>
      <w:sz w:val="24"/>
      <w:szCs w:val="24"/>
      <w:shd w:val="clear" w:color="auto" w:fill="FFFFFF" w:themeFill="background1"/>
    </w:rPr>
  </w:style>
  <w:style w:type="paragraph" w:customStyle="1" w:styleId="Appendix7">
    <w:name w:val="Appendix 7"/>
    <w:basedOn w:val="Appendix6"/>
    <w:qFormat/>
    <w:rsid w:val="00BC7FF6"/>
    <w:pPr>
      <w:numPr>
        <w:ilvl w:val="6"/>
      </w:numPr>
      <w:tabs>
        <w:tab w:val="num" w:pos="360"/>
      </w:tabs>
      <w:ind w:left="1699" w:hanging="1512"/>
    </w:pPr>
  </w:style>
  <w:style w:type="paragraph" w:customStyle="1" w:styleId="Appendix8">
    <w:name w:val="Appendix 8"/>
    <w:basedOn w:val="Appendix7"/>
    <w:qFormat/>
    <w:rsid w:val="00BC7FF6"/>
    <w:pPr>
      <w:numPr>
        <w:ilvl w:val="7"/>
      </w:numPr>
      <w:tabs>
        <w:tab w:val="num" w:pos="360"/>
      </w:tabs>
      <w:ind w:left="2088" w:hanging="1512"/>
    </w:pPr>
  </w:style>
  <w:style w:type="character" w:customStyle="1" w:styleId="Heading2Char">
    <w:name w:val="Heading 2 Char"/>
    <w:basedOn w:val="DefaultParagraphFont"/>
    <w:link w:val="Heading2"/>
    <w:uiPriority w:val="9"/>
    <w:semiHidden/>
    <w:rsid w:val="00BC7FF6"/>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BC7FF6"/>
    <w:rPr>
      <w:rFonts w:asciiTheme="majorHAnsi" w:eastAsiaTheme="majorEastAsia" w:hAnsiTheme="majorHAnsi" w:cstheme="majorBidi"/>
      <w:color w:val="1F4D78" w:themeColor="accent1" w:themeShade="7F"/>
      <w:sz w:val="24"/>
      <w:szCs w:val="24"/>
    </w:rPr>
  </w:style>
  <w:style w:type="paragraph" w:styleId="BalloonText">
    <w:name w:val="Balloon Text"/>
    <w:basedOn w:val="Normal"/>
    <w:link w:val="BalloonTextChar"/>
    <w:uiPriority w:val="99"/>
    <w:semiHidden/>
    <w:unhideWhenUsed/>
    <w:rsid w:val="004F4321"/>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F4321"/>
    <w:rPr>
      <w:rFonts w:ascii="Lucida Grande" w:hAnsi="Lucida Grande" w:cs="Lucida Grande"/>
      <w:sz w:val="18"/>
      <w:szCs w:val="18"/>
    </w:rPr>
  </w:style>
  <w:style w:type="character" w:styleId="CommentReference">
    <w:name w:val="annotation reference"/>
    <w:basedOn w:val="DefaultParagraphFont"/>
    <w:uiPriority w:val="99"/>
    <w:semiHidden/>
    <w:unhideWhenUsed/>
    <w:rsid w:val="000F31B7"/>
    <w:rPr>
      <w:sz w:val="18"/>
      <w:szCs w:val="18"/>
    </w:rPr>
  </w:style>
  <w:style w:type="paragraph" w:styleId="CommentText">
    <w:name w:val="annotation text"/>
    <w:basedOn w:val="Normal"/>
    <w:link w:val="CommentTextChar"/>
    <w:uiPriority w:val="99"/>
    <w:semiHidden/>
    <w:unhideWhenUsed/>
    <w:rsid w:val="000F31B7"/>
    <w:pPr>
      <w:spacing w:line="240" w:lineRule="auto"/>
    </w:pPr>
    <w:rPr>
      <w:sz w:val="24"/>
      <w:szCs w:val="24"/>
    </w:rPr>
  </w:style>
  <w:style w:type="character" w:customStyle="1" w:styleId="CommentTextChar">
    <w:name w:val="Comment Text Char"/>
    <w:basedOn w:val="DefaultParagraphFont"/>
    <w:link w:val="CommentText"/>
    <w:uiPriority w:val="99"/>
    <w:semiHidden/>
    <w:rsid w:val="000F31B7"/>
    <w:rPr>
      <w:sz w:val="24"/>
      <w:szCs w:val="24"/>
    </w:rPr>
  </w:style>
  <w:style w:type="paragraph" w:styleId="CommentSubject">
    <w:name w:val="annotation subject"/>
    <w:basedOn w:val="CommentText"/>
    <w:next w:val="CommentText"/>
    <w:link w:val="CommentSubjectChar"/>
    <w:uiPriority w:val="99"/>
    <w:semiHidden/>
    <w:unhideWhenUsed/>
    <w:rsid w:val="000F31B7"/>
    <w:rPr>
      <w:b/>
      <w:bCs/>
      <w:sz w:val="20"/>
      <w:szCs w:val="20"/>
    </w:rPr>
  </w:style>
  <w:style w:type="character" w:customStyle="1" w:styleId="CommentSubjectChar">
    <w:name w:val="Comment Subject Char"/>
    <w:basedOn w:val="CommentTextChar"/>
    <w:link w:val="CommentSubject"/>
    <w:uiPriority w:val="99"/>
    <w:semiHidden/>
    <w:rsid w:val="000F31B7"/>
    <w:rPr>
      <w:b/>
      <w:bCs/>
      <w:sz w:val="20"/>
      <w:szCs w:val="20"/>
    </w:rPr>
  </w:style>
  <w:style w:type="paragraph" w:styleId="Revision">
    <w:name w:val="Revision"/>
    <w:hidden/>
    <w:uiPriority w:val="99"/>
    <w:semiHidden/>
    <w:rsid w:val="007D5201"/>
    <w:pPr>
      <w:spacing w:after="0" w:line="240" w:lineRule="auto"/>
    </w:pPr>
  </w:style>
</w:styles>
</file>

<file path=word/webSettings.xml><?xml version="1.0" encoding="utf-8"?>
<w:webSettings xmlns:r="http://schemas.openxmlformats.org/officeDocument/2006/relationships" xmlns:w="http://schemas.openxmlformats.org/wordprocessingml/2006/main">
  <w:divs>
    <w:div w:id="1589465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1282</Words>
  <Characters>7311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Noblis</Company>
  <LinksUpToDate>false</LinksUpToDate>
  <CharactersWithSpaces>8576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Soltys, Jim</dc:creator>
  <cp:lastModifiedBy>AprilRamey</cp:lastModifiedBy>
  <cp:revision>2</cp:revision>
  <dcterms:created xsi:type="dcterms:W3CDTF">2015-06-04T18:58:00Z</dcterms:created>
  <dcterms:modified xsi:type="dcterms:W3CDTF">2015-06-04T18:58:00Z</dcterms:modified>
</cp:coreProperties>
</file>