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8" w:type="dxa"/>
        <w:tblInd w:w="-380" w:type="dxa"/>
        <w:tblCellMar>
          <w:left w:w="0" w:type="dxa"/>
          <w:right w:w="0" w:type="dxa"/>
        </w:tblCellMar>
        <w:tblLook w:val="04A0" w:firstRow="1" w:lastRow="0" w:firstColumn="1" w:lastColumn="0" w:noHBand="0" w:noVBand="1"/>
      </w:tblPr>
      <w:tblGrid>
        <w:gridCol w:w="3273"/>
        <w:gridCol w:w="6975"/>
      </w:tblGrid>
      <w:tr w:rsidR="00646E50" w:rsidRPr="00646E50" w14:paraId="433DED95" w14:textId="77777777" w:rsidTr="00A97B56">
        <w:trPr>
          <w:trHeight w:val="1713"/>
        </w:trPr>
        <w:tc>
          <w:tcPr>
            <w:tcW w:w="10248" w:type="dxa"/>
            <w:gridSpan w:val="2"/>
            <w:shd w:val="clear" w:color="auto" w:fill="003E74"/>
            <w:tcMar>
              <w:top w:w="160" w:type="dxa"/>
              <w:left w:w="160" w:type="dxa"/>
              <w:bottom w:w="160" w:type="dxa"/>
              <w:right w:w="160" w:type="dxa"/>
            </w:tcMar>
            <w:vAlign w:val="center"/>
            <w:hideMark/>
          </w:tcPr>
          <w:p w14:paraId="5D9B9BA6" w14:textId="5F6E72FF" w:rsidR="0059742C" w:rsidRPr="004806D9" w:rsidRDefault="00646E50" w:rsidP="00646E50">
            <w:pPr>
              <w:spacing w:after="0" w:line="360" w:lineRule="auto"/>
              <w:jc w:val="center"/>
              <w:rPr>
                <w:rFonts w:eastAsia="Times New Roman" w:cs="Arial"/>
                <w:b/>
                <w:color w:val="AFD8FC"/>
                <w:sz w:val="36"/>
                <w:szCs w:val="24"/>
              </w:rPr>
            </w:pPr>
            <w:bookmarkStart w:id="0" w:name="_GoBack"/>
            <w:bookmarkEnd w:id="0"/>
            <w:r w:rsidRPr="004806D9">
              <w:rPr>
                <w:rFonts w:eastAsia="Times New Roman" w:cs="Arial"/>
                <w:b/>
                <w:bCs/>
                <w:color w:val="AFD8FC"/>
                <w:sz w:val="36"/>
                <w:szCs w:val="24"/>
              </w:rPr>
              <w:t>GSA Enterprise Infrastructure Solutions (EIS)</w:t>
            </w:r>
            <w:r w:rsidR="004726FC" w:rsidRPr="004806D9">
              <w:rPr>
                <w:rFonts w:eastAsia="Times New Roman" w:cs="Arial"/>
                <w:b/>
                <w:color w:val="AFD8FC"/>
                <w:sz w:val="36"/>
                <w:szCs w:val="24"/>
              </w:rPr>
              <w:t xml:space="preserve"> </w:t>
            </w:r>
          </w:p>
          <w:p w14:paraId="1C4DCF7D" w14:textId="3C2E7718" w:rsidR="00646E50" w:rsidRPr="004806D9" w:rsidRDefault="00646E50" w:rsidP="00646E50">
            <w:pPr>
              <w:spacing w:after="0" w:line="360" w:lineRule="auto"/>
              <w:jc w:val="center"/>
              <w:rPr>
                <w:rFonts w:eastAsia="Times New Roman" w:cs="Arial"/>
                <w:b/>
                <w:color w:val="AFD8FC"/>
                <w:sz w:val="36"/>
                <w:szCs w:val="24"/>
              </w:rPr>
            </w:pPr>
            <w:r w:rsidRPr="004806D9">
              <w:rPr>
                <w:rFonts w:eastAsia="Times New Roman" w:cs="Arial"/>
                <w:b/>
                <w:color w:val="AFD8FC"/>
                <w:sz w:val="36"/>
                <w:szCs w:val="24"/>
              </w:rPr>
              <w:t>Bulletin</w:t>
            </w:r>
          </w:p>
          <w:p w14:paraId="3EE07038" w14:textId="7371EDFD" w:rsidR="00646E50" w:rsidRPr="00522849" w:rsidRDefault="00AF35C4" w:rsidP="00A97B56">
            <w:pPr>
              <w:spacing w:after="0" w:line="240" w:lineRule="auto"/>
              <w:jc w:val="center"/>
              <w:rPr>
                <w:rFonts w:eastAsia="Times New Roman" w:cs="Arial"/>
                <w:b/>
                <w:i/>
                <w:color w:val="FF0000"/>
                <w:sz w:val="28"/>
                <w:szCs w:val="28"/>
              </w:rPr>
            </w:pPr>
            <w:r w:rsidRPr="004806D9">
              <w:rPr>
                <w:rFonts w:eastAsia="Times New Roman" w:cs="Arial"/>
                <w:b/>
                <w:i/>
                <w:sz w:val="36"/>
                <w:szCs w:val="28"/>
              </w:rPr>
              <w:t xml:space="preserve">Volume </w:t>
            </w:r>
            <w:r w:rsidR="00FF587A">
              <w:rPr>
                <w:rFonts w:eastAsia="Times New Roman" w:cs="Arial"/>
                <w:b/>
                <w:i/>
                <w:sz w:val="36"/>
                <w:szCs w:val="28"/>
              </w:rPr>
              <w:t>1</w:t>
            </w:r>
            <w:r w:rsidR="00A97B56">
              <w:rPr>
                <w:rFonts w:eastAsia="Times New Roman" w:cs="Arial"/>
                <w:b/>
                <w:i/>
                <w:sz w:val="36"/>
                <w:szCs w:val="28"/>
              </w:rPr>
              <w:t>4</w:t>
            </w:r>
          </w:p>
        </w:tc>
      </w:tr>
      <w:tr w:rsidR="0071463E" w:rsidRPr="00646E50" w14:paraId="24A5ADDB" w14:textId="77777777" w:rsidTr="00A97B56">
        <w:trPr>
          <w:trHeight w:val="10409"/>
        </w:trPr>
        <w:tc>
          <w:tcPr>
            <w:tcW w:w="3273" w:type="dxa"/>
            <w:shd w:val="clear" w:color="auto" w:fill="ABCCED"/>
            <w:tcMar>
              <w:top w:w="120" w:type="dxa"/>
              <w:left w:w="120" w:type="dxa"/>
              <w:bottom w:w="120" w:type="dxa"/>
              <w:right w:w="120" w:type="dxa"/>
            </w:tcMar>
            <w:hideMark/>
          </w:tcPr>
          <w:p w14:paraId="0427F4FE" w14:textId="69F1F9E8" w:rsidR="00E02892" w:rsidRPr="00231AF4" w:rsidRDefault="00E02892" w:rsidP="00E02892">
            <w:pPr>
              <w:spacing w:before="100" w:beforeAutospacing="1" w:after="240" w:line="240" w:lineRule="auto"/>
              <w:jc w:val="both"/>
              <w:rPr>
                <w:rFonts w:eastAsia="Times New Roman" w:cs="Arial"/>
                <w:b/>
                <w:bCs/>
                <w:color w:val="314F99"/>
                <w:sz w:val="22"/>
                <w:szCs w:val="24"/>
              </w:rPr>
            </w:pPr>
            <w:r w:rsidRPr="00231AF4">
              <w:rPr>
                <w:rFonts w:eastAsia="Times New Roman" w:cs="Arial"/>
                <w:b/>
                <w:bCs/>
                <w:color w:val="314F99"/>
                <w:sz w:val="22"/>
                <w:szCs w:val="24"/>
              </w:rPr>
              <w:t xml:space="preserve">Date: </w:t>
            </w:r>
            <w:r w:rsidR="00A97B56">
              <w:rPr>
                <w:rFonts w:eastAsia="Times New Roman" w:cs="Arial"/>
                <w:bCs/>
                <w:sz w:val="22"/>
                <w:szCs w:val="24"/>
              </w:rPr>
              <w:t>11</w:t>
            </w:r>
            <w:r w:rsidR="00F1458F">
              <w:rPr>
                <w:rFonts w:eastAsia="Times New Roman" w:cs="Arial"/>
                <w:bCs/>
                <w:sz w:val="22"/>
                <w:szCs w:val="24"/>
              </w:rPr>
              <w:t>/</w:t>
            </w:r>
            <w:r w:rsidR="006941D8">
              <w:rPr>
                <w:rFonts w:eastAsia="Times New Roman" w:cs="Arial"/>
                <w:bCs/>
                <w:sz w:val="22"/>
                <w:szCs w:val="24"/>
              </w:rPr>
              <w:t>18</w:t>
            </w:r>
            <w:r w:rsidRPr="00231AF4">
              <w:rPr>
                <w:rFonts w:eastAsia="Times New Roman" w:cs="Arial"/>
                <w:bCs/>
                <w:sz w:val="22"/>
                <w:szCs w:val="24"/>
              </w:rPr>
              <w:t>/2020</w:t>
            </w:r>
          </w:p>
          <w:p w14:paraId="0BEE66B4" w14:textId="3FD93FF6" w:rsidR="00E02892" w:rsidRPr="00231AF4" w:rsidRDefault="00E02892" w:rsidP="00E02892">
            <w:pPr>
              <w:spacing w:before="100" w:beforeAutospacing="1" w:after="240" w:line="240" w:lineRule="auto"/>
              <w:rPr>
                <w:rFonts w:eastAsia="Times New Roman" w:cs="Arial"/>
                <w:color w:val="000000"/>
                <w:sz w:val="22"/>
                <w:szCs w:val="24"/>
              </w:rPr>
            </w:pPr>
            <w:r w:rsidRPr="00231AF4">
              <w:rPr>
                <w:rFonts w:eastAsia="Times New Roman" w:cs="Arial"/>
                <w:b/>
                <w:bCs/>
                <w:color w:val="314F99"/>
                <w:sz w:val="22"/>
                <w:szCs w:val="24"/>
              </w:rPr>
              <w:t>Target Audience:</w:t>
            </w:r>
            <w:r w:rsidRPr="00231AF4">
              <w:rPr>
                <w:rFonts w:eastAsia="Times New Roman" w:cs="Arial"/>
                <w:color w:val="000000"/>
                <w:sz w:val="22"/>
                <w:szCs w:val="24"/>
              </w:rPr>
              <w:t xml:space="preserve">  Agency Transition Sponsors; Lead Transition Managers (LTMs); Transition Managers; Ordering Contracting Officers (OCOs); </w:t>
            </w:r>
            <w:r w:rsidR="006D607F">
              <w:rPr>
                <w:rFonts w:eastAsia="Times New Roman" w:cs="Arial"/>
                <w:color w:val="000000"/>
                <w:sz w:val="22"/>
                <w:szCs w:val="24"/>
              </w:rPr>
              <w:t xml:space="preserve">Agency EIS Contracting Officer’s Representatives; </w:t>
            </w:r>
            <w:r w:rsidR="00067F15">
              <w:rPr>
                <w:rFonts w:eastAsia="Times New Roman" w:cs="Arial"/>
                <w:color w:val="000000"/>
                <w:sz w:val="22"/>
                <w:szCs w:val="24"/>
              </w:rPr>
              <w:t>EIS contractors</w:t>
            </w:r>
          </w:p>
          <w:p w14:paraId="53E6C43B" w14:textId="77777777" w:rsidR="00E02892" w:rsidRPr="00231AF4" w:rsidRDefault="00E02892" w:rsidP="00E02892">
            <w:pPr>
              <w:spacing w:before="360" w:after="120" w:line="240" w:lineRule="auto"/>
              <w:jc w:val="both"/>
              <w:rPr>
                <w:rFonts w:eastAsia="Times New Roman" w:cs="Arial"/>
                <w:b/>
                <w:bCs/>
                <w:color w:val="314F99"/>
                <w:sz w:val="22"/>
                <w:szCs w:val="24"/>
              </w:rPr>
            </w:pPr>
            <w:r w:rsidRPr="00231AF4">
              <w:rPr>
                <w:rFonts w:eastAsia="Times New Roman" w:cs="Arial"/>
                <w:b/>
                <w:bCs/>
                <w:color w:val="314F99"/>
                <w:sz w:val="22"/>
                <w:szCs w:val="24"/>
              </w:rPr>
              <w:t>Topics in this Bulletin:</w:t>
            </w:r>
          </w:p>
          <w:p w14:paraId="5702F827" w14:textId="5930BDA0" w:rsidR="00E02892" w:rsidRDefault="00A97B56" w:rsidP="00A97B56">
            <w:pPr>
              <w:pStyle w:val="ListParagraph"/>
              <w:numPr>
                <w:ilvl w:val="0"/>
                <w:numId w:val="28"/>
              </w:numPr>
              <w:spacing w:after="120" w:line="240" w:lineRule="auto"/>
              <w:ind w:right="477"/>
              <w:rPr>
                <w:rFonts w:eastAsia="Times New Roman" w:cs="Arial"/>
                <w:sz w:val="22"/>
                <w:szCs w:val="24"/>
              </w:rPr>
            </w:pPr>
            <w:r w:rsidRPr="00A97B56">
              <w:rPr>
                <w:rFonts w:eastAsia="Times New Roman" w:cs="Arial"/>
                <w:sz w:val="22"/>
                <w:szCs w:val="24"/>
              </w:rPr>
              <w:t>McNamara-O’Hara Service Contract Act Applicability to EIS</w:t>
            </w:r>
          </w:p>
          <w:p w14:paraId="3DE77865" w14:textId="77777777" w:rsidR="00A97B56" w:rsidRPr="00231AF4" w:rsidRDefault="00A97B56" w:rsidP="00A97B56">
            <w:pPr>
              <w:pStyle w:val="ListParagraph"/>
              <w:spacing w:after="120" w:line="240" w:lineRule="auto"/>
              <w:ind w:right="477"/>
              <w:rPr>
                <w:rFonts w:eastAsia="Times New Roman" w:cs="Arial"/>
                <w:sz w:val="22"/>
                <w:szCs w:val="24"/>
              </w:rPr>
            </w:pPr>
          </w:p>
          <w:p w14:paraId="0111F11F" w14:textId="619CDDC4" w:rsidR="00646E50" w:rsidRPr="00646E50" w:rsidRDefault="00E02892" w:rsidP="005C6BFC">
            <w:pPr>
              <w:spacing w:after="120" w:line="240" w:lineRule="auto"/>
              <w:rPr>
                <w:rFonts w:eastAsia="Times New Roman" w:cs="Arial"/>
                <w:color w:val="222222"/>
                <w:szCs w:val="24"/>
              </w:rPr>
            </w:pPr>
            <w:r w:rsidRPr="00F66F8A">
              <w:rPr>
                <w:rFonts w:eastAsia="Times New Roman" w:cs="Arial"/>
                <w:b/>
                <w:bCs/>
                <w:color w:val="314F99"/>
                <w:sz w:val="22"/>
                <w:szCs w:val="24"/>
              </w:rPr>
              <w:t>Questions:</w:t>
            </w:r>
            <w:r w:rsidRPr="00F66F8A">
              <w:rPr>
                <w:rFonts w:eastAsia="Times New Roman" w:cs="Arial"/>
                <w:color w:val="222222"/>
                <w:sz w:val="22"/>
                <w:szCs w:val="24"/>
              </w:rPr>
              <w:t xml:space="preserve">  Email the T</w:t>
            </w:r>
            <w:r>
              <w:rPr>
                <w:rFonts w:eastAsia="Times New Roman" w:cs="Arial"/>
                <w:color w:val="222222"/>
                <w:sz w:val="22"/>
                <w:szCs w:val="24"/>
              </w:rPr>
              <w:t xml:space="preserve">ransition </w:t>
            </w:r>
            <w:r w:rsidRPr="00F66F8A">
              <w:rPr>
                <w:rFonts w:eastAsia="Times New Roman" w:cs="Arial"/>
                <w:color w:val="222222"/>
                <w:sz w:val="22"/>
                <w:szCs w:val="24"/>
              </w:rPr>
              <w:t>C</w:t>
            </w:r>
            <w:r>
              <w:rPr>
                <w:rFonts w:eastAsia="Times New Roman" w:cs="Arial"/>
                <w:color w:val="222222"/>
                <w:sz w:val="22"/>
                <w:szCs w:val="24"/>
              </w:rPr>
              <w:t xml:space="preserve">oordination </w:t>
            </w:r>
            <w:r w:rsidRPr="00F66F8A">
              <w:rPr>
                <w:rFonts w:eastAsia="Times New Roman" w:cs="Arial"/>
                <w:color w:val="222222"/>
                <w:sz w:val="22"/>
                <w:szCs w:val="24"/>
              </w:rPr>
              <w:t>C</w:t>
            </w:r>
            <w:r>
              <w:rPr>
                <w:rFonts w:eastAsia="Times New Roman" w:cs="Arial"/>
                <w:color w:val="222222"/>
                <w:sz w:val="22"/>
                <w:szCs w:val="24"/>
              </w:rPr>
              <w:t>enter</w:t>
            </w:r>
            <w:r w:rsidRPr="00F66F8A">
              <w:rPr>
                <w:rFonts w:eastAsia="Times New Roman" w:cs="Arial"/>
                <w:color w:val="222222"/>
                <w:sz w:val="22"/>
                <w:szCs w:val="24"/>
              </w:rPr>
              <w:t xml:space="preserve"> Help Desk at </w:t>
            </w:r>
            <w:hyperlink r:id="rId12" w:history="1">
              <w:r w:rsidRPr="00F66F8A">
                <w:rPr>
                  <w:rFonts w:eastAsia="Times New Roman" w:cs="Arial"/>
                  <w:color w:val="0000FF"/>
                  <w:sz w:val="22"/>
                  <w:szCs w:val="24"/>
                  <w:u w:val="single"/>
                </w:rPr>
                <w:t>eistcc.support@gsa.gov</w:t>
              </w:r>
            </w:hyperlink>
            <w:r w:rsidRPr="00F66F8A">
              <w:rPr>
                <w:rFonts w:eastAsia="Times New Roman" w:cs="Arial"/>
                <w:color w:val="0000FF"/>
                <w:sz w:val="22"/>
                <w:szCs w:val="24"/>
                <w:u w:val="single"/>
              </w:rPr>
              <w:t>.</w:t>
            </w:r>
          </w:p>
        </w:tc>
        <w:tc>
          <w:tcPr>
            <w:tcW w:w="6975" w:type="dxa"/>
            <w:shd w:val="clear" w:color="auto" w:fill="FFFFFF"/>
            <w:tcMar>
              <w:top w:w="120" w:type="dxa"/>
              <w:left w:w="120" w:type="dxa"/>
              <w:bottom w:w="120" w:type="dxa"/>
              <w:right w:w="120" w:type="dxa"/>
            </w:tcMar>
            <w:hideMark/>
          </w:tcPr>
          <w:p w14:paraId="18F6763E" w14:textId="572E8A5E" w:rsidR="00E02892" w:rsidRDefault="00E02892" w:rsidP="00E02892">
            <w:pPr>
              <w:shd w:val="clear" w:color="auto" w:fill="FFFFFF"/>
              <w:spacing w:after="0"/>
              <w:jc w:val="both"/>
              <w:rPr>
                <w:rFonts w:eastAsia="Times New Roman" w:cs="Arial"/>
                <w:szCs w:val="24"/>
              </w:rPr>
            </w:pPr>
            <w:r>
              <w:rPr>
                <w:rFonts w:eastAsia="Times New Roman" w:cs="Arial"/>
                <w:b/>
                <w:szCs w:val="24"/>
              </w:rPr>
              <w:t xml:space="preserve">Background: </w:t>
            </w:r>
            <w:r>
              <w:rPr>
                <w:rFonts w:eastAsia="Times New Roman" w:cs="Arial"/>
                <w:szCs w:val="24"/>
              </w:rPr>
              <w:t xml:space="preserve">This bulletin </w:t>
            </w:r>
            <w:r w:rsidR="00E725DB">
              <w:rPr>
                <w:rFonts w:eastAsia="Times New Roman" w:cs="Arial"/>
                <w:szCs w:val="24"/>
              </w:rPr>
              <w:t>addresses</w:t>
            </w:r>
            <w:r>
              <w:rPr>
                <w:rFonts w:eastAsia="Times New Roman" w:cs="Arial"/>
                <w:szCs w:val="24"/>
              </w:rPr>
              <w:t xml:space="preserve"> </w:t>
            </w:r>
            <w:r w:rsidR="00A97B56">
              <w:rPr>
                <w:rFonts w:eastAsia="Times New Roman" w:cs="Arial"/>
                <w:szCs w:val="24"/>
              </w:rPr>
              <w:t xml:space="preserve">the </w:t>
            </w:r>
            <w:r w:rsidR="00A97B56" w:rsidRPr="00A97B56">
              <w:rPr>
                <w:rFonts w:eastAsia="Times New Roman" w:cs="Arial"/>
                <w:szCs w:val="24"/>
              </w:rPr>
              <w:t>McNamara-O’Hara Service Contract Act Applicability to EIS</w:t>
            </w:r>
            <w:r w:rsidR="00F1458F">
              <w:rPr>
                <w:rFonts w:eastAsia="Times New Roman" w:cs="Arial"/>
                <w:szCs w:val="24"/>
              </w:rPr>
              <w:t>.</w:t>
            </w:r>
          </w:p>
          <w:p w14:paraId="5495239E" w14:textId="77777777" w:rsidR="00632C73" w:rsidRPr="004806D9" w:rsidRDefault="00632C73">
            <w:pPr>
              <w:shd w:val="clear" w:color="auto" w:fill="FFFFFF"/>
              <w:spacing w:after="0"/>
              <w:jc w:val="both"/>
              <w:rPr>
                <w:rFonts w:eastAsia="Times New Roman" w:cs="Arial"/>
                <w:b/>
                <w:sz w:val="14"/>
                <w:szCs w:val="24"/>
              </w:rPr>
            </w:pPr>
          </w:p>
          <w:p w14:paraId="29E91A8F" w14:textId="2658A1DA" w:rsidR="00F1458F" w:rsidRDefault="00B712BB" w:rsidP="00F1458F">
            <w:pPr>
              <w:jc w:val="both"/>
            </w:pPr>
            <w:r>
              <w:rPr>
                <w:rFonts w:eastAsia="Times New Roman" w:cs="Arial"/>
                <w:b/>
                <w:szCs w:val="24"/>
              </w:rPr>
              <w:t xml:space="preserve">Topic </w:t>
            </w:r>
            <w:r w:rsidR="00707858">
              <w:rPr>
                <w:rFonts w:eastAsia="Times New Roman" w:cs="Arial"/>
                <w:b/>
                <w:szCs w:val="24"/>
              </w:rPr>
              <w:t>–</w:t>
            </w:r>
            <w:r>
              <w:rPr>
                <w:rFonts w:eastAsia="Times New Roman" w:cs="Arial"/>
                <w:b/>
                <w:szCs w:val="24"/>
              </w:rPr>
              <w:t xml:space="preserve"> </w:t>
            </w:r>
            <w:r w:rsidR="00A97B56" w:rsidRPr="00A97B56">
              <w:rPr>
                <w:rFonts w:eastAsia="Times New Roman" w:cs="Arial"/>
                <w:b/>
                <w:color w:val="222222"/>
                <w:szCs w:val="24"/>
              </w:rPr>
              <w:t>McNamara-O’Hara Service Contract Act Applicability to EIS</w:t>
            </w:r>
            <w:r w:rsidR="00CC148F" w:rsidRPr="00D34F0E">
              <w:rPr>
                <w:b/>
              </w:rPr>
              <w:t>:</w:t>
            </w:r>
            <w:r w:rsidR="00FB2509">
              <w:rPr>
                <w:b/>
              </w:rPr>
              <w:t xml:space="preserve"> </w:t>
            </w:r>
            <w:r w:rsidR="00A97B56" w:rsidRPr="000B0724">
              <w:rPr>
                <w:bCs/>
              </w:rPr>
              <w:t>T</w:t>
            </w:r>
            <w:r w:rsidR="00A97B56" w:rsidRPr="00A97B56">
              <w:t>he McNamara-O’Hara Service Contract Act of 1965 (SCA or Act) is included in the EIS contract. The SCA is implemented in the contract per F</w:t>
            </w:r>
            <w:r w:rsidR="00CC79FB">
              <w:t>ederal Acquisition Regulation (F</w:t>
            </w:r>
            <w:r w:rsidR="00A97B56" w:rsidRPr="00A97B56">
              <w:t>AR</w:t>
            </w:r>
            <w:r w:rsidR="00CC79FB">
              <w:t>)</w:t>
            </w:r>
            <w:r w:rsidR="00A97B56" w:rsidRPr="00A97B56">
              <w:t xml:space="preserve"> Clause 52.222-41 Service Contract Labor Standards. It requires </w:t>
            </w:r>
            <w:r w:rsidR="002669DD">
              <w:t>c</w:t>
            </w:r>
            <w:r w:rsidR="00A97B56" w:rsidRPr="00A97B56">
              <w:t xml:space="preserve">ontractors performing on service contracts in excess of $2,500 to which no predecessor contractor’s collective bargaining agreement applies shall pay their employees at least the wages and fringe benefits found by the Department of Labor </w:t>
            </w:r>
            <w:r w:rsidR="002669DD">
              <w:t xml:space="preserve">(DOL) </w:t>
            </w:r>
            <w:r w:rsidR="00A97B56" w:rsidRPr="00A97B56">
              <w:t>to prevail in the locality or, in the absence of a wage determination, the minimum wage set forth in the Fair Labor Standards Act</w:t>
            </w:r>
            <w:r w:rsidR="002669DD">
              <w:t xml:space="preserve"> (FLSA)</w:t>
            </w:r>
            <w:r w:rsidR="00A97B56" w:rsidRPr="00A97B56">
              <w:t>.</w:t>
            </w:r>
          </w:p>
          <w:p w14:paraId="1B1C9A46" w14:textId="77777777" w:rsidR="00A97B56" w:rsidRDefault="00A97B56" w:rsidP="00A97B56">
            <w:pPr>
              <w:jc w:val="both"/>
            </w:pPr>
            <w:r>
              <w:t>Several agencies and one EIS contractor questioned the applicability of the SCA to the EIS contract. The main argument against its applicability to EIS was the exemption included in FAR 22.1003-3 (d), which states:</w:t>
            </w:r>
          </w:p>
          <w:p w14:paraId="0B2CD4A5" w14:textId="47CBF999" w:rsidR="00CC79FB" w:rsidRDefault="002669DD" w:rsidP="00A97B56">
            <w:pPr>
              <w:ind w:left="302"/>
              <w:jc w:val="both"/>
            </w:pPr>
            <w:r>
              <w:t>“</w:t>
            </w:r>
            <w:r w:rsidR="00A97B56">
              <w:t xml:space="preserve">The Service Contract Labor Standards statute does not apply to </w:t>
            </w:r>
            <w:r w:rsidR="00CC79FB">
              <w:t>–</w:t>
            </w:r>
            <w:r w:rsidR="00A97B56">
              <w:t xml:space="preserve"> </w:t>
            </w:r>
          </w:p>
          <w:p w14:paraId="380B1946" w14:textId="758351DE" w:rsidR="00A97B56" w:rsidRDefault="00A97B56" w:rsidP="00A97B56">
            <w:pPr>
              <w:ind w:left="302"/>
              <w:jc w:val="both"/>
            </w:pPr>
            <w:r>
              <w:t>(d) Any contract for furnishing services by radio, telephone, or cable companies subject to the Communications Act of 1934.</w:t>
            </w:r>
            <w:r w:rsidR="002669DD">
              <w:t>”</w:t>
            </w:r>
          </w:p>
          <w:p w14:paraId="538A35DE" w14:textId="64A971DF" w:rsidR="00A97B56" w:rsidRDefault="00A97B56" w:rsidP="00A97B56">
            <w:pPr>
              <w:ind w:left="32"/>
              <w:jc w:val="both"/>
            </w:pPr>
            <w:r w:rsidRPr="00A97B56">
              <w:t>In September 2019, the GSA asked the DOL Wage and Hour Division (WHD) to reconsider the SCA’s applicability to the EIS contract. The DOL recently reaffirmed to GSA that the SCA applies to the EIS contract. Specifically, DOL stated the following</w:t>
            </w:r>
            <w:r>
              <w:t>:</w:t>
            </w:r>
          </w:p>
          <w:p w14:paraId="436F6C97" w14:textId="256FB2C7" w:rsidR="00F1458F" w:rsidRPr="00DD6A90" w:rsidRDefault="00A97B56" w:rsidP="00E27EBD">
            <w:pPr>
              <w:ind w:left="302" w:right="228"/>
              <w:jc w:val="both"/>
            </w:pPr>
            <w:r w:rsidRPr="00A97B56">
              <w:t xml:space="preserve">‘Unless an exemption applies, the SCA generally covers any federal service contract that is performed “through the </w:t>
            </w:r>
          </w:p>
        </w:tc>
      </w:tr>
    </w:tbl>
    <w:p w14:paraId="524573D0" w14:textId="5A91E6EA" w:rsidR="00E02892" w:rsidRDefault="00E27EBD" w:rsidP="009D64F2">
      <w:pPr>
        <w:spacing w:after="160"/>
        <w:ind w:left="360" w:right="356"/>
        <w:jc w:val="both"/>
      </w:pPr>
      <w:r w:rsidRPr="00A97B56">
        <w:lastRenderedPageBreak/>
        <w:t xml:space="preserve">use of </w:t>
      </w:r>
      <w:r w:rsidR="00CC79FB" w:rsidRPr="00A97B56">
        <w:t>service employees</w:t>
      </w:r>
      <w:r w:rsidR="004A40B3">
        <w:t>”</w:t>
      </w:r>
      <w:r w:rsidR="00CC79FB" w:rsidRPr="00A97B56">
        <w:t xml:space="preserve"> </w:t>
      </w:r>
      <w:r w:rsidR="004A40B3">
        <w:t>(</w:t>
      </w:r>
      <w:r w:rsidR="00CC79FB" w:rsidRPr="00A97B56">
        <w:t>41 U.S.C. § 6702(a)(3</w:t>
      </w:r>
      <w:r w:rsidR="004A40B3">
        <w:t>)). A</w:t>
      </w:r>
      <w:r w:rsidR="00CC79FB" w:rsidRPr="00A97B56">
        <w:t xml:space="preserve"> “service employee” includes all persons engaged in the performance </w:t>
      </w:r>
      <w:r w:rsidR="00A97B56" w:rsidRPr="00A97B56">
        <w:t xml:space="preserve">of a covered service contract, except for those persons who are employed in a bona fide executive, administrative, or professional capacity, as those terms are defined in 29 CFR Part 541, under the FLSA </w:t>
      </w:r>
      <w:r w:rsidR="004A40B3">
        <w:t>(</w:t>
      </w:r>
      <w:r w:rsidR="00A97B56" w:rsidRPr="00A97B56">
        <w:t>41 U.S.C. § 6701(3)</w:t>
      </w:r>
      <w:r w:rsidR="004A40B3">
        <w:t>)</w:t>
      </w:r>
      <w:r w:rsidR="00A97B56" w:rsidRPr="00A97B56">
        <w:t>. If a contract for services is performed exclusively or essentially by FLSA-exempt executive, administrative, or professional employees, with the use of service employees being only a minor or nonexistent factor in the performance of a contract, the contract is not subject to the</w:t>
      </w:r>
      <w:r w:rsidR="00CC79FB">
        <w:t xml:space="preserve"> SCA. See 29 CFR § 4.113(a)(2)-</w:t>
      </w:r>
      <w:r w:rsidR="00A97B56" w:rsidRPr="00A97B56">
        <w:t>(3). However, a contract for services is subject to the Act if it involves the use of service employees to a significant or substantial extent even though there is some use of bona fide executive, administrative, or professional employees in the performance of the contract. Id.; see also Nat’l Cancer Inst., No. 93-10, 1993 WL 832143 (BCSA Dec. 30, 1993) (discussing the “significant or substantial” standard).</w:t>
      </w:r>
      <w:r w:rsidR="00CC79FB">
        <w:t>’</w:t>
      </w:r>
    </w:p>
    <w:p w14:paraId="091BE8A8" w14:textId="6AAB33CB" w:rsidR="00A97B56" w:rsidRPr="00A97B56" w:rsidRDefault="00A97B56" w:rsidP="00A97B56">
      <w:pPr>
        <w:tabs>
          <w:tab w:val="left" w:pos="0"/>
        </w:tabs>
        <w:spacing w:after="160"/>
        <w:jc w:val="both"/>
        <w:rPr>
          <w:szCs w:val="24"/>
        </w:rPr>
      </w:pPr>
      <w:r w:rsidRPr="00A97B56">
        <w:rPr>
          <w:szCs w:val="24"/>
        </w:rPr>
        <w:t>Because task orders are the “official contractual mechanism” agencies use to obtain services under the Networx and EIS IDIQs, WHD evaluates whether the Communications Act exemption a</w:t>
      </w:r>
      <w:r w:rsidR="00B72006">
        <w:rPr>
          <w:szCs w:val="24"/>
        </w:rPr>
        <w:t>pplies at the task-order level.</w:t>
      </w:r>
      <w:r w:rsidRPr="00A97B56">
        <w:rPr>
          <w:szCs w:val="24"/>
        </w:rPr>
        <w:t xml:space="preserve"> Therefore, agencies must determine if an exemption applies at the task order level in order to determine SCA’s applicability. Please be advised that DOL has determined that Contact Center Services are not exempt and are subject to the SCA. DOL </w:t>
      </w:r>
      <w:r w:rsidR="002669DD">
        <w:rPr>
          <w:szCs w:val="24"/>
        </w:rPr>
        <w:t xml:space="preserve">has </w:t>
      </w:r>
      <w:r w:rsidRPr="00A97B56">
        <w:rPr>
          <w:szCs w:val="24"/>
        </w:rPr>
        <w:t>not made a determination regarding SCA applicability to any other service on the EIS contract.</w:t>
      </w:r>
    </w:p>
    <w:sectPr w:rsidR="00A97B56" w:rsidRPr="00A97B56" w:rsidSect="00924DE7">
      <w:pgSz w:w="12240" w:h="15840"/>
      <w:pgMar w:top="1440" w:right="1440" w:bottom="1152" w:left="135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D8647E" w14:textId="77777777" w:rsidR="001428D7" w:rsidRDefault="001428D7" w:rsidP="002465E3">
      <w:pPr>
        <w:spacing w:after="0" w:line="240" w:lineRule="auto"/>
      </w:pPr>
      <w:r>
        <w:separator/>
      </w:r>
    </w:p>
  </w:endnote>
  <w:endnote w:type="continuationSeparator" w:id="0">
    <w:p w14:paraId="18256E5E" w14:textId="77777777" w:rsidR="001428D7" w:rsidRDefault="001428D7" w:rsidP="002465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3A4485" w14:textId="77777777" w:rsidR="001428D7" w:rsidRDefault="001428D7" w:rsidP="002465E3">
      <w:pPr>
        <w:spacing w:after="0" w:line="240" w:lineRule="auto"/>
      </w:pPr>
      <w:r>
        <w:separator/>
      </w:r>
    </w:p>
  </w:footnote>
  <w:footnote w:type="continuationSeparator" w:id="0">
    <w:p w14:paraId="3BB1207D" w14:textId="77777777" w:rsidR="001428D7" w:rsidRDefault="001428D7" w:rsidP="002465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F54EA"/>
    <w:multiLevelType w:val="hybridMultilevel"/>
    <w:tmpl w:val="06C4D4A4"/>
    <w:lvl w:ilvl="0" w:tplc="11149AFC">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7B24DF"/>
    <w:multiLevelType w:val="multilevel"/>
    <w:tmpl w:val="33B61BA8"/>
    <w:styleLink w:val="AppendixHeadings"/>
    <w:lvl w:ilvl="0">
      <w:start w:val="1"/>
      <w:numFmt w:val="upperLetter"/>
      <w:lvlText w:val="Appendix %1"/>
      <w:lvlJc w:val="left"/>
      <w:pPr>
        <w:ind w:left="360" w:hanging="360"/>
      </w:pPr>
      <w:rPr>
        <w:rFonts w:ascii="Times New Roman" w:hAnsi="Times New Roman" w:hint="default"/>
      </w:rPr>
    </w:lvl>
    <w:lvl w:ilvl="1">
      <w:start w:val="1"/>
      <w:numFmt w:val="decimal"/>
      <w:pStyle w:val="Appendix2"/>
      <w:lvlText w:val="%1.%2"/>
      <w:lvlJc w:val="left"/>
      <w:pPr>
        <w:ind w:left="864" w:hanging="504"/>
      </w:pPr>
      <w:rPr>
        <w:rFonts w:hint="default"/>
      </w:rPr>
    </w:lvl>
    <w:lvl w:ilvl="2">
      <w:start w:val="1"/>
      <w:numFmt w:val="decimal"/>
      <w:pStyle w:val="Appendix3"/>
      <w:lvlText w:val="%1.%2.%3"/>
      <w:lvlJc w:val="left"/>
      <w:pPr>
        <w:ind w:left="1440" w:hanging="360"/>
      </w:pPr>
      <w:rPr>
        <w:rFonts w:hint="default"/>
      </w:rPr>
    </w:lvl>
    <w:lvl w:ilvl="3">
      <w:start w:val="1"/>
      <w:numFmt w:val="decimal"/>
      <w:pStyle w:val="Appendix4"/>
      <w:lvlText w:val="%1.%2.%3.%4"/>
      <w:lvlJc w:val="left"/>
      <w:pPr>
        <w:ind w:left="1080" w:hanging="1080"/>
      </w:pPr>
      <w:rPr>
        <w:rFonts w:hint="default"/>
      </w:rPr>
    </w:lvl>
    <w:lvl w:ilvl="4">
      <w:start w:val="1"/>
      <w:numFmt w:val="decimal"/>
      <w:pStyle w:val="Appendix5"/>
      <w:lvlText w:val="%1.%2.%3.%4.%5"/>
      <w:lvlJc w:val="left"/>
      <w:pPr>
        <w:ind w:left="360" w:hanging="360"/>
      </w:pPr>
      <w:rPr>
        <w:rFonts w:hint="default"/>
      </w:rPr>
    </w:lvl>
    <w:lvl w:ilvl="5">
      <w:start w:val="1"/>
      <w:numFmt w:val="decimal"/>
      <w:pStyle w:val="Appendix6"/>
      <w:lvlText w:val="%1.%2.%3.%4.%5.%6"/>
      <w:lvlJc w:val="left"/>
      <w:pPr>
        <w:ind w:left="360" w:hanging="360"/>
      </w:pPr>
      <w:rPr>
        <w:rFonts w:hint="default"/>
      </w:rPr>
    </w:lvl>
    <w:lvl w:ilvl="6">
      <w:start w:val="1"/>
      <w:numFmt w:val="decimal"/>
      <w:pStyle w:val="Appendix7"/>
      <w:lvlText w:val="%1.%2.%3.%4.%5.%6.%7"/>
      <w:lvlJc w:val="left"/>
      <w:pPr>
        <w:ind w:left="360" w:hanging="360"/>
      </w:pPr>
      <w:rPr>
        <w:rFonts w:hint="default"/>
      </w:rPr>
    </w:lvl>
    <w:lvl w:ilvl="7">
      <w:start w:val="1"/>
      <w:numFmt w:val="decimal"/>
      <w:pStyle w:val="Appendix8"/>
      <w:lvlText w:val="%1.%2.%3.%4.%5.%6.%7.%8"/>
      <w:lvlJc w:val="left"/>
      <w:pPr>
        <w:ind w:left="360" w:hanging="360"/>
      </w:pPr>
      <w:rPr>
        <w:rFonts w:hint="default"/>
      </w:rPr>
    </w:lvl>
    <w:lvl w:ilvl="8">
      <w:start w:val="1"/>
      <w:numFmt w:val="decimal"/>
      <w:lvlText w:val="%1.%2.%3.%4.%5.%6.%7.%8.%9"/>
      <w:lvlJc w:val="left"/>
      <w:pPr>
        <w:ind w:left="360" w:hanging="360"/>
      </w:pPr>
      <w:rPr>
        <w:rFonts w:hint="default"/>
      </w:rPr>
    </w:lvl>
  </w:abstractNum>
  <w:abstractNum w:abstractNumId="2">
    <w:nsid w:val="07DA799D"/>
    <w:multiLevelType w:val="hybridMultilevel"/>
    <w:tmpl w:val="D6EE2BAA"/>
    <w:lvl w:ilvl="0" w:tplc="4802C57A">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052CA9"/>
    <w:multiLevelType w:val="hybridMultilevel"/>
    <w:tmpl w:val="36E0A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CD3843"/>
    <w:multiLevelType w:val="hybridMultilevel"/>
    <w:tmpl w:val="E26C0E50"/>
    <w:lvl w:ilvl="0" w:tplc="D2801E3A">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0BC2F39"/>
    <w:multiLevelType w:val="hybridMultilevel"/>
    <w:tmpl w:val="879A84F6"/>
    <w:lvl w:ilvl="0" w:tplc="04090001">
      <w:start w:val="1"/>
      <w:numFmt w:val="bullet"/>
      <w:lvlText w:val=""/>
      <w:lvlJc w:val="left"/>
      <w:pPr>
        <w:ind w:left="720" w:hanging="360"/>
      </w:pPr>
      <w:rPr>
        <w:rFonts w:ascii="Symbol" w:hAnsi="Symbol" w:hint="default"/>
      </w:rPr>
    </w:lvl>
    <w:lvl w:ilvl="1" w:tplc="75E67968">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BE786C"/>
    <w:multiLevelType w:val="hybridMultilevel"/>
    <w:tmpl w:val="2B30246A"/>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7">
    <w:nsid w:val="1B0258A5"/>
    <w:multiLevelType w:val="hybridMultilevel"/>
    <w:tmpl w:val="F4BC8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2A5DFA"/>
    <w:multiLevelType w:val="hybridMultilevel"/>
    <w:tmpl w:val="27BEE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4A6C75"/>
    <w:multiLevelType w:val="hybridMultilevel"/>
    <w:tmpl w:val="A5C26DA8"/>
    <w:lvl w:ilvl="0" w:tplc="FFA4EE8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616472"/>
    <w:multiLevelType w:val="hybridMultilevel"/>
    <w:tmpl w:val="6A6E6698"/>
    <w:lvl w:ilvl="0" w:tplc="04090001">
      <w:start w:val="1"/>
      <w:numFmt w:val="bullet"/>
      <w:lvlText w:val=""/>
      <w:lvlJc w:val="left"/>
      <w:pPr>
        <w:ind w:left="720" w:hanging="360"/>
      </w:pPr>
      <w:rPr>
        <w:rFonts w:ascii="Symbol" w:hAnsi="Symbol" w:hint="default"/>
      </w:rPr>
    </w:lvl>
    <w:lvl w:ilvl="1" w:tplc="F1C4A5C6">
      <w:numFmt w:val="bullet"/>
      <w:lvlText w:val="•"/>
      <w:lvlJc w:val="left"/>
      <w:pPr>
        <w:ind w:left="1440" w:hanging="360"/>
      </w:pPr>
      <w:rPr>
        <w:rFonts w:ascii="Arial" w:eastAsiaTheme="minorHAnsi"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3C0E96"/>
    <w:multiLevelType w:val="hybridMultilevel"/>
    <w:tmpl w:val="391412A4"/>
    <w:lvl w:ilvl="0" w:tplc="D6168238">
      <w:numFmt w:val="bullet"/>
      <w:lvlText w:val="•"/>
      <w:lvlJc w:val="left"/>
      <w:pPr>
        <w:ind w:left="1080" w:hanging="72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0D30435"/>
    <w:multiLevelType w:val="hybridMultilevel"/>
    <w:tmpl w:val="D7F43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7B00A7"/>
    <w:multiLevelType w:val="hybridMultilevel"/>
    <w:tmpl w:val="E2B83B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DA60649"/>
    <w:multiLevelType w:val="hybridMultilevel"/>
    <w:tmpl w:val="EFE0176A"/>
    <w:lvl w:ilvl="0" w:tplc="6324BF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273259"/>
    <w:multiLevelType w:val="hybridMultilevel"/>
    <w:tmpl w:val="7BE68826"/>
    <w:lvl w:ilvl="0" w:tplc="A4CCAF9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605D3E"/>
    <w:multiLevelType w:val="hybridMultilevel"/>
    <w:tmpl w:val="C0E22B36"/>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44B5A74"/>
    <w:multiLevelType w:val="hybridMultilevel"/>
    <w:tmpl w:val="C24EC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E26360"/>
    <w:multiLevelType w:val="hybridMultilevel"/>
    <w:tmpl w:val="6D3877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BA7428C"/>
    <w:multiLevelType w:val="hybridMultilevel"/>
    <w:tmpl w:val="7A1AD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5D6172"/>
    <w:multiLevelType w:val="hybridMultilevel"/>
    <w:tmpl w:val="23CCB8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73C1C18"/>
    <w:multiLevelType w:val="hybridMultilevel"/>
    <w:tmpl w:val="DDACAB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4C4024"/>
    <w:multiLevelType w:val="hybridMultilevel"/>
    <w:tmpl w:val="6DCEE10A"/>
    <w:lvl w:ilvl="0" w:tplc="FFFFFFFF">
      <w:start w:val="1"/>
      <w:numFmt w:val="bullet"/>
      <w:pStyle w:val="StyleB2"/>
      <w:lvlText w:val="o"/>
      <w:lvlJc w:val="left"/>
      <w:pPr>
        <w:ind w:left="1080" w:hanging="360"/>
      </w:pPr>
      <w:rPr>
        <w:rFonts w:ascii="Courier New" w:hAnsi="Courier New" w:cs="Courier New"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nsid w:val="53BF7B78"/>
    <w:multiLevelType w:val="hybridMultilevel"/>
    <w:tmpl w:val="1B528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C850F9"/>
    <w:multiLevelType w:val="hybridMultilevel"/>
    <w:tmpl w:val="2C9A7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E410EE"/>
    <w:multiLevelType w:val="hybridMultilevel"/>
    <w:tmpl w:val="F0AA6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F0284E"/>
    <w:multiLevelType w:val="hybridMultilevel"/>
    <w:tmpl w:val="2AF682C4"/>
    <w:lvl w:ilvl="0" w:tplc="34BC7E0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7">
    <w:nsid w:val="5F82495C"/>
    <w:multiLevelType w:val="hybridMultilevel"/>
    <w:tmpl w:val="C38A2152"/>
    <w:lvl w:ilvl="0" w:tplc="35E4F320">
      <w:start w:val="9"/>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5C4697F"/>
    <w:multiLevelType w:val="hybridMultilevel"/>
    <w:tmpl w:val="98020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066D1E"/>
    <w:multiLevelType w:val="hybridMultilevel"/>
    <w:tmpl w:val="E2F43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64249C"/>
    <w:multiLevelType w:val="hybridMultilevel"/>
    <w:tmpl w:val="4A6209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AFB3A87"/>
    <w:multiLevelType w:val="hybridMultilevel"/>
    <w:tmpl w:val="1CB0C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C578BF"/>
    <w:multiLevelType w:val="hybridMultilevel"/>
    <w:tmpl w:val="F19C7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
  </w:num>
  <w:num w:numId="3">
    <w:abstractNumId w:val="25"/>
  </w:num>
  <w:num w:numId="4">
    <w:abstractNumId w:val="20"/>
  </w:num>
  <w:num w:numId="5">
    <w:abstractNumId w:val="19"/>
  </w:num>
  <w:num w:numId="6">
    <w:abstractNumId w:val="31"/>
  </w:num>
  <w:num w:numId="7">
    <w:abstractNumId w:val="30"/>
  </w:num>
  <w:num w:numId="8">
    <w:abstractNumId w:val="8"/>
  </w:num>
  <w:num w:numId="9">
    <w:abstractNumId w:val="12"/>
  </w:num>
  <w:num w:numId="10">
    <w:abstractNumId w:val="3"/>
  </w:num>
  <w:num w:numId="11">
    <w:abstractNumId w:val="27"/>
  </w:num>
  <w:num w:numId="12">
    <w:abstractNumId w:val="17"/>
  </w:num>
  <w:num w:numId="13">
    <w:abstractNumId w:val="21"/>
  </w:num>
  <w:num w:numId="14">
    <w:abstractNumId w:val="32"/>
  </w:num>
  <w:num w:numId="15">
    <w:abstractNumId w:val="1"/>
  </w:num>
  <w:num w:numId="16">
    <w:abstractNumId w:val="6"/>
  </w:num>
  <w:num w:numId="17">
    <w:abstractNumId w:val="7"/>
  </w:num>
  <w:num w:numId="18">
    <w:abstractNumId w:val="29"/>
  </w:num>
  <w:num w:numId="19">
    <w:abstractNumId w:val="5"/>
  </w:num>
  <w:num w:numId="20">
    <w:abstractNumId w:val="24"/>
  </w:num>
  <w:num w:numId="21">
    <w:abstractNumId w:val="14"/>
  </w:num>
  <w:num w:numId="22">
    <w:abstractNumId w:val="10"/>
  </w:num>
  <w:num w:numId="23">
    <w:abstractNumId w:val="26"/>
  </w:num>
  <w:num w:numId="24">
    <w:abstractNumId w:val="1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4"/>
  </w:num>
  <w:num w:numId="28">
    <w:abstractNumId w:val="0"/>
  </w:num>
  <w:num w:numId="29">
    <w:abstractNumId w:val="18"/>
  </w:num>
  <w:num w:numId="30">
    <w:abstractNumId w:val="9"/>
  </w:num>
  <w:num w:numId="31">
    <w:abstractNumId w:val="22"/>
  </w:num>
  <w:num w:numId="32">
    <w:abstractNumId w:val="16"/>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E50"/>
    <w:rsid w:val="000023B5"/>
    <w:rsid w:val="00003FCF"/>
    <w:rsid w:val="000045FE"/>
    <w:rsid w:val="000054EF"/>
    <w:rsid w:val="000122F6"/>
    <w:rsid w:val="000127F6"/>
    <w:rsid w:val="00014647"/>
    <w:rsid w:val="00014DC0"/>
    <w:rsid w:val="00017C11"/>
    <w:rsid w:val="00021458"/>
    <w:rsid w:val="000266B4"/>
    <w:rsid w:val="00035DC9"/>
    <w:rsid w:val="000414AF"/>
    <w:rsid w:val="00041B9E"/>
    <w:rsid w:val="000473C1"/>
    <w:rsid w:val="00060BDF"/>
    <w:rsid w:val="000651F3"/>
    <w:rsid w:val="00067303"/>
    <w:rsid w:val="000679E7"/>
    <w:rsid w:val="000679F3"/>
    <w:rsid w:val="00067BE3"/>
    <w:rsid w:val="00067F15"/>
    <w:rsid w:val="00076B9E"/>
    <w:rsid w:val="000830CA"/>
    <w:rsid w:val="00083FBB"/>
    <w:rsid w:val="000865A0"/>
    <w:rsid w:val="00090DCB"/>
    <w:rsid w:val="00093457"/>
    <w:rsid w:val="00094B61"/>
    <w:rsid w:val="00096D59"/>
    <w:rsid w:val="000A7B56"/>
    <w:rsid w:val="000B0724"/>
    <w:rsid w:val="000B11B1"/>
    <w:rsid w:val="000B1427"/>
    <w:rsid w:val="000B3C27"/>
    <w:rsid w:val="000B4543"/>
    <w:rsid w:val="000C1BDC"/>
    <w:rsid w:val="000C524D"/>
    <w:rsid w:val="000C6D13"/>
    <w:rsid w:val="000D0042"/>
    <w:rsid w:val="000D4564"/>
    <w:rsid w:val="000D6B2D"/>
    <w:rsid w:val="000D7ED6"/>
    <w:rsid w:val="000E1B88"/>
    <w:rsid w:val="000E2615"/>
    <w:rsid w:val="000E60BD"/>
    <w:rsid w:val="000E7884"/>
    <w:rsid w:val="000F1816"/>
    <w:rsid w:val="000F1ECE"/>
    <w:rsid w:val="000F1F1A"/>
    <w:rsid w:val="000F257F"/>
    <w:rsid w:val="000F5048"/>
    <w:rsid w:val="00111AED"/>
    <w:rsid w:val="0012222C"/>
    <w:rsid w:val="00125B8D"/>
    <w:rsid w:val="001272F8"/>
    <w:rsid w:val="00131FBC"/>
    <w:rsid w:val="00141CE0"/>
    <w:rsid w:val="001428D7"/>
    <w:rsid w:val="00143C49"/>
    <w:rsid w:val="00144F5E"/>
    <w:rsid w:val="0014664C"/>
    <w:rsid w:val="001566C4"/>
    <w:rsid w:val="00157061"/>
    <w:rsid w:val="00161C1D"/>
    <w:rsid w:val="00165057"/>
    <w:rsid w:val="00165080"/>
    <w:rsid w:val="001650F0"/>
    <w:rsid w:val="00165D5B"/>
    <w:rsid w:val="001662AE"/>
    <w:rsid w:val="00175D13"/>
    <w:rsid w:val="0017658F"/>
    <w:rsid w:val="001805BE"/>
    <w:rsid w:val="001815F8"/>
    <w:rsid w:val="00182E3E"/>
    <w:rsid w:val="00184090"/>
    <w:rsid w:val="00185DB8"/>
    <w:rsid w:val="00190BBA"/>
    <w:rsid w:val="0019388B"/>
    <w:rsid w:val="001A358A"/>
    <w:rsid w:val="001A79EC"/>
    <w:rsid w:val="001B3799"/>
    <w:rsid w:val="001B44FE"/>
    <w:rsid w:val="001B497C"/>
    <w:rsid w:val="001B58B7"/>
    <w:rsid w:val="001C74E0"/>
    <w:rsid w:val="001D100E"/>
    <w:rsid w:val="001D59E0"/>
    <w:rsid w:val="001E048D"/>
    <w:rsid w:val="001E0E37"/>
    <w:rsid w:val="001E6C88"/>
    <w:rsid w:val="001E7635"/>
    <w:rsid w:val="001E7EB0"/>
    <w:rsid w:val="00200501"/>
    <w:rsid w:val="00202453"/>
    <w:rsid w:val="0020685A"/>
    <w:rsid w:val="0020747E"/>
    <w:rsid w:val="00216E98"/>
    <w:rsid w:val="00217443"/>
    <w:rsid w:val="00221535"/>
    <w:rsid w:val="00223E79"/>
    <w:rsid w:val="002244B4"/>
    <w:rsid w:val="00226008"/>
    <w:rsid w:val="00227530"/>
    <w:rsid w:val="0023604E"/>
    <w:rsid w:val="00237AAA"/>
    <w:rsid w:val="002465C7"/>
    <w:rsid w:val="002465E3"/>
    <w:rsid w:val="00251751"/>
    <w:rsid w:val="00252B2C"/>
    <w:rsid w:val="00256581"/>
    <w:rsid w:val="00257371"/>
    <w:rsid w:val="0026237A"/>
    <w:rsid w:val="002669DD"/>
    <w:rsid w:val="00267FBC"/>
    <w:rsid w:val="00272751"/>
    <w:rsid w:val="00276685"/>
    <w:rsid w:val="00281137"/>
    <w:rsid w:val="00285CC0"/>
    <w:rsid w:val="002878B9"/>
    <w:rsid w:val="00296FD4"/>
    <w:rsid w:val="002A243C"/>
    <w:rsid w:val="002A2A1A"/>
    <w:rsid w:val="002B1600"/>
    <w:rsid w:val="002B2B1C"/>
    <w:rsid w:val="002B2C05"/>
    <w:rsid w:val="002B7B0B"/>
    <w:rsid w:val="002C3E17"/>
    <w:rsid w:val="002C4252"/>
    <w:rsid w:val="002C69FF"/>
    <w:rsid w:val="002D1E70"/>
    <w:rsid w:val="002D2AEE"/>
    <w:rsid w:val="002D6D7D"/>
    <w:rsid w:val="002E0F1C"/>
    <w:rsid w:val="002E494A"/>
    <w:rsid w:val="002E58EF"/>
    <w:rsid w:val="002E5D5F"/>
    <w:rsid w:val="002F0C63"/>
    <w:rsid w:val="002F2383"/>
    <w:rsid w:val="002F43BB"/>
    <w:rsid w:val="002F5169"/>
    <w:rsid w:val="003006D9"/>
    <w:rsid w:val="00304E72"/>
    <w:rsid w:val="00305023"/>
    <w:rsid w:val="00306956"/>
    <w:rsid w:val="00307ECE"/>
    <w:rsid w:val="003121A6"/>
    <w:rsid w:val="003131D8"/>
    <w:rsid w:val="00313A9A"/>
    <w:rsid w:val="00313E77"/>
    <w:rsid w:val="003142BF"/>
    <w:rsid w:val="00314C28"/>
    <w:rsid w:val="00315AEA"/>
    <w:rsid w:val="003214A3"/>
    <w:rsid w:val="00323799"/>
    <w:rsid w:val="00323DB9"/>
    <w:rsid w:val="00333AAD"/>
    <w:rsid w:val="003373B6"/>
    <w:rsid w:val="00343318"/>
    <w:rsid w:val="003434ED"/>
    <w:rsid w:val="00345A46"/>
    <w:rsid w:val="00347780"/>
    <w:rsid w:val="00350372"/>
    <w:rsid w:val="00351ED7"/>
    <w:rsid w:val="00352A73"/>
    <w:rsid w:val="00355D21"/>
    <w:rsid w:val="00357933"/>
    <w:rsid w:val="003630DA"/>
    <w:rsid w:val="00373517"/>
    <w:rsid w:val="00383BA0"/>
    <w:rsid w:val="003855C1"/>
    <w:rsid w:val="00386558"/>
    <w:rsid w:val="003918FE"/>
    <w:rsid w:val="003965DB"/>
    <w:rsid w:val="003A069E"/>
    <w:rsid w:val="003A0F1F"/>
    <w:rsid w:val="003B27F7"/>
    <w:rsid w:val="003C4009"/>
    <w:rsid w:val="003C7E39"/>
    <w:rsid w:val="003D0CE6"/>
    <w:rsid w:val="003D18E2"/>
    <w:rsid w:val="003D7D83"/>
    <w:rsid w:val="003E131A"/>
    <w:rsid w:val="003E1965"/>
    <w:rsid w:val="003E35E0"/>
    <w:rsid w:val="003E79DC"/>
    <w:rsid w:val="003E7A16"/>
    <w:rsid w:val="003E7B64"/>
    <w:rsid w:val="003F0FE8"/>
    <w:rsid w:val="003F2628"/>
    <w:rsid w:val="003F5124"/>
    <w:rsid w:val="00411D1D"/>
    <w:rsid w:val="0041555B"/>
    <w:rsid w:val="0041792C"/>
    <w:rsid w:val="00422524"/>
    <w:rsid w:val="00427AED"/>
    <w:rsid w:val="00431594"/>
    <w:rsid w:val="0043793E"/>
    <w:rsid w:val="004418C0"/>
    <w:rsid w:val="004418C5"/>
    <w:rsid w:val="004459DC"/>
    <w:rsid w:val="00450202"/>
    <w:rsid w:val="0045025B"/>
    <w:rsid w:val="00450270"/>
    <w:rsid w:val="00450F53"/>
    <w:rsid w:val="0045324E"/>
    <w:rsid w:val="00457FA4"/>
    <w:rsid w:val="0046169C"/>
    <w:rsid w:val="00462C26"/>
    <w:rsid w:val="00466305"/>
    <w:rsid w:val="0047042E"/>
    <w:rsid w:val="004714A5"/>
    <w:rsid w:val="004726FC"/>
    <w:rsid w:val="004806D9"/>
    <w:rsid w:val="004829EA"/>
    <w:rsid w:val="004829F1"/>
    <w:rsid w:val="004855C4"/>
    <w:rsid w:val="0049094D"/>
    <w:rsid w:val="00491CC1"/>
    <w:rsid w:val="004934CE"/>
    <w:rsid w:val="004A40B3"/>
    <w:rsid w:val="004A7A13"/>
    <w:rsid w:val="004B3FD8"/>
    <w:rsid w:val="004C1170"/>
    <w:rsid w:val="004D12ED"/>
    <w:rsid w:val="004D1A4C"/>
    <w:rsid w:val="004D3A35"/>
    <w:rsid w:val="004E1A75"/>
    <w:rsid w:val="004E382E"/>
    <w:rsid w:val="004E5910"/>
    <w:rsid w:val="004E74B3"/>
    <w:rsid w:val="004F210D"/>
    <w:rsid w:val="004F46B8"/>
    <w:rsid w:val="004F559D"/>
    <w:rsid w:val="0050350F"/>
    <w:rsid w:val="00504E84"/>
    <w:rsid w:val="00510FAC"/>
    <w:rsid w:val="00511FCF"/>
    <w:rsid w:val="005169F4"/>
    <w:rsid w:val="00517C6E"/>
    <w:rsid w:val="00521090"/>
    <w:rsid w:val="005211A3"/>
    <w:rsid w:val="00522849"/>
    <w:rsid w:val="005309BF"/>
    <w:rsid w:val="00533A9F"/>
    <w:rsid w:val="005365B6"/>
    <w:rsid w:val="005401C3"/>
    <w:rsid w:val="0054231C"/>
    <w:rsid w:val="00544C26"/>
    <w:rsid w:val="00546421"/>
    <w:rsid w:val="005536EA"/>
    <w:rsid w:val="00553D10"/>
    <w:rsid w:val="0055465B"/>
    <w:rsid w:val="005546D5"/>
    <w:rsid w:val="005558ED"/>
    <w:rsid w:val="00556C84"/>
    <w:rsid w:val="00557BEF"/>
    <w:rsid w:val="00566143"/>
    <w:rsid w:val="00566C01"/>
    <w:rsid w:val="00570602"/>
    <w:rsid w:val="0057134F"/>
    <w:rsid w:val="00573C58"/>
    <w:rsid w:val="0057659C"/>
    <w:rsid w:val="00576ED8"/>
    <w:rsid w:val="00582505"/>
    <w:rsid w:val="00584A7E"/>
    <w:rsid w:val="00584DE2"/>
    <w:rsid w:val="005858FE"/>
    <w:rsid w:val="00587CA4"/>
    <w:rsid w:val="0059220D"/>
    <w:rsid w:val="00593089"/>
    <w:rsid w:val="00595D8F"/>
    <w:rsid w:val="005968CF"/>
    <w:rsid w:val="0059742C"/>
    <w:rsid w:val="0059774F"/>
    <w:rsid w:val="00597C2E"/>
    <w:rsid w:val="005A0BD4"/>
    <w:rsid w:val="005A5EAC"/>
    <w:rsid w:val="005A78DB"/>
    <w:rsid w:val="005A7ECE"/>
    <w:rsid w:val="005B232C"/>
    <w:rsid w:val="005B3120"/>
    <w:rsid w:val="005B7D10"/>
    <w:rsid w:val="005C0542"/>
    <w:rsid w:val="005C26AB"/>
    <w:rsid w:val="005C6BA8"/>
    <w:rsid w:val="005C6BFC"/>
    <w:rsid w:val="005D14B1"/>
    <w:rsid w:val="005D17AB"/>
    <w:rsid w:val="005D2C55"/>
    <w:rsid w:val="005E297D"/>
    <w:rsid w:val="005F15F0"/>
    <w:rsid w:val="005F1695"/>
    <w:rsid w:val="005F2517"/>
    <w:rsid w:val="005F25C0"/>
    <w:rsid w:val="005F5080"/>
    <w:rsid w:val="00601727"/>
    <w:rsid w:val="00613871"/>
    <w:rsid w:val="00614103"/>
    <w:rsid w:val="00614211"/>
    <w:rsid w:val="00620A4A"/>
    <w:rsid w:val="00621703"/>
    <w:rsid w:val="00621EB0"/>
    <w:rsid w:val="00623484"/>
    <w:rsid w:val="006242EE"/>
    <w:rsid w:val="006275FB"/>
    <w:rsid w:val="006323AD"/>
    <w:rsid w:val="00632C73"/>
    <w:rsid w:val="00635827"/>
    <w:rsid w:val="006369CE"/>
    <w:rsid w:val="006437FC"/>
    <w:rsid w:val="006461FA"/>
    <w:rsid w:val="00646E50"/>
    <w:rsid w:val="006533E2"/>
    <w:rsid w:val="006624B8"/>
    <w:rsid w:val="00662B24"/>
    <w:rsid w:val="00663A83"/>
    <w:rsid w:val="00670C55"/>
    <w:rsid w:val="006808EB"/>
    <w:rsid w:val="00682EE0"/>
    <w:rsid w:val="00683B5D"/>
    <w:rsid w:val="00683FF1"/>
    <w:rsid w:val="006842A4"/>
    <w:rsid w:val="00686258"/>
    <w:rsid w:val="006874F8"/>
    <w:rsid w:val="00687784"/>
    <w:rsid w:val="006878A1"/>
    <w:rsid w:val="00687C3F"/>
    <w:rsid w:val="006916C8"/>
    <w:rsid w:val="006917B0"/>
    <w:rsid w:val="00693582"/>
    <w:rsid w:val="006937BF"/>
    <w:rsid w:val="006941D8"/>
    <w:rsid w:val="00695C58"/>
    <w:rsid w:val="00696CDE"/>
    <w:rsid w:val="0069793F"/>
    <w:rsid w:val="006A3C12"/>
    <w:rsid w:val="006A4540"/>
    <w:rsid w:val="006A61BE"/>
    <w:rsid w:val="006B115B"/>
    <w:rsid w:val="006C0C7D"/>
    <w:rsid w:val="006C11C5"/>
    <w:rsid w:val="006C58E5"/>
    <w:rsid w:val="006C7F94"/>
    <w:rsid w:val="006D4157"/>
    <w:rsid w:val="006D5181"/>
    <w:rsid w:val="006D5D5E"/>
    <w:rsid w:val="006D607F"/>
    <w:rsid w:val="006D653C"/>
    <w:rsid w:val="006D70AA"/>
    <w:rsid w:val="006E2AB4"/>
    <w:rsid w:val="006E30A7"/>
    <w:rsid w:val="006E5F27"/>
    <w:rsid w:val="006F419F"/>
    <w:rsid w:val="006F4285"/>
    <w:rsid w:val="006F723F"/>
    <w:rsid w:val="00707858"/>
    <w:rsid w:val="00710E0B"/>
    <w:rsid w:val="0071463E"/>
    <w:rsid w:val="00727DEC"/>
    <w:rsid w:val="007301C2"/>
    <w:rsid w:val="00730CCB"/>
    <w:rsid w:val="00732C57"/>
    <w:rsid w:val="00737DBF"/>
    <w:rsid w:val="007402E8"/>
    <w:rsid w:val="00740948"/>
    <w:rsid w:val="007466BC"/>
    <w:rsid w:val="00746FF4"/>
    <w:rsid w:val="007546E0"/>
    <w:rsid w:val="007547EA"/>
    <w:rsid w:val="00754AC3"/>
    <w:rsid w:val="00756008"/>
    <w:rsid w:val="00760C6C"/>
    <w:rsid w:val="00764454"/>
    <w:rsid w:val="0077192A"/>
    <w:rsid w:val="007754F3"/>
    <w:rsid w:val="0077615F"/>
    <w:rsid w:val="00776BF4"/>
    <w:rsid w:val="007778C3"/>
    <w:rsid w:val="007800AF"/>
    <w:rsid w:val="007822B9"/>
    <w:rsid w:val="00787699"/>
    <w:rsid w:val="007902F9"/>
    <w:rsid w:val="00790A6B"/>
    <w:rsid w:val="007919DB"/>
    <w:rsid w:val="0079567F"/>
    <w:rsid w:val="00795AE3"/>
    <w:rsid w:val="007A13D7"/>
    <w:rsid w:val="007A1566"/>
    <w:rsid w:val="007A170B"/>
    <w:rsid w:val="007A1FB3"/>
    <w:rsid w:val="007A5A23"/>
    <w:rsid w:val="007A7324"/>
    <w:rsid w:val="007B0BF2"/>
    <w:rsid w:val="007B32E6"/>
    <w:rsid w:val="007B4CF2"/>
    <w:rsid w:val="007B707C"/>
    <w:rsid w:val="007C1493"/>
    <w:rsid w:val="007C5B1F"/>
    <w:rsid w:val="007D3886"/>
    <w:rsid w:val="007D6772"/>
    <w:rsid w:val="007D7637"/>
    <w:rsid w:val="007E1283"/>
    <w:rsid w:val="007E7954"/>
    <w:rsid w:val="007F09F3"/>
    <w:rsid w:val="007F364F"/>
    <w:rsid w:val="007F5952"/>
    <w:rsid w:val="00801165"/>
    <w:rsid w:val="0080307A"/>
    <w:rsid w:val="0080479A"/>
    <w:rsid w:val="00805AD9"/>
    <w:rsid w:val="0081114D"/>
    <w:rsid w:val="00811218"/>
    <w:rsid w:val="00812A2A"/>
    <w:rsid w:val="0081581C"/>
    <w:rsid w:val="00822691"/>
    <w:rsid w:val="008252AE"/>
    <w:rsid w:val="00826292"/>
    <w:rsid w:val="00830D6E"/>
    <w:rsid w:val="00833C5D"/>
    <w:rsid w:val="00834442"/>
    <w:rsid w:val="00842604"/>
    <w:rsid w:val="00844A4F"/>
    <w:rsid w:val="00846869"/>
    <w:rsid w:val="008475D4"/>
    <w:rsid w:val="00851F9B"/>
    <w:rsid w:val="00852427"/>
    <w:rsid w:val="00855141"/>
    <w:rsid w:val="00860446"/>
    <w:rsid w:val="00863E2D"/>
    <w:rsid w:val="00865639"/>
    <w:rsid w:val="00867AA7"/>
    <w:rsid w:val="00873BFC"/>
    <w:rsid w:val="0087699C"/>
    <w:rsid w:val="00881F48"/>
    <w:rsid w:val="00886C99"/>
    <w:rsid w:val="00887AA2"/>
    <w:rsid w:val="008A2C57"/>
    <w:rsid w:val="008A562A"/>
    <w:rsid w:val="008B04E9"/>
    <w:rsid w:val="008B0BBF"/>
    <w:rsid w:val="008B3883"/>
    <w:rsid w:val="008B538F"/>
    <w:rsid w:val="008B58AF"/>
    <w:rsid w:val="008B7174"/>
    <w:rsid w:val="008C3578"/>
    <w:rsid w:val="008C39AC"/>
    <w:rsid w:val="008D4786"/>
    <w:rsid w:val="008D6894"/>
    <w:rsid w:val="008E0597"/>
    <w:rsid w:val="008E787C"/>
    <w:rsid w:val="008F4331"/>
    <w:rsid w:val="008F51A7"/>
    <w:rsid w:val="00900557"/>
    <w:rsid w:val="00903B36"/>
    <w:rsid w:val="00905FCE"/>
    <w:rsid w:val="00906E98"/>
    <w:rsid w:val="00912CDC"/>
    <w:rsid w:val="00914524"/>
    <w:rsid w:val="00920277"/>
    <w:rsid w:val="0092360F"/>
    <w:rsid w:val="00924DE7"/>
    <w:rsid w:val="00927266"/>
    <w:rsid w:val="00927372"/>
    <w:rsid w:val="009273EF"/>
    <w:rsid w:val="009307AC"/>
    <w:rsid w:val="00930F12"/>
    <w:rsid w:val="00932826"/>
    <w:rsid w:val="0093781B"/>
    <w:rsid w:val="00942EDB"/>
    <w:rsid w:val="00946B9D"/>
    <w:rsid w:val="00947ABF"/>
    <w:rsid w:val="00961395"/>
    <w:rsid w:val="0096203C"/>
    <w:rsid w:val="009621B5"/>
    <w:rsid w:val="009635A9"/>
    <w:rsid w:val="009767E3"/>
    <w:rsid w:val="00977CBA"/>
    <w:rsid w:val="00986628"/>
    <w:rsid w:val="0099012F"/>
    <w:rsid w:val="00990DCB"/>
    <w:rsid w:val="00990FA6"/>
    <w:rsid w:val="009939D0"/>
    <w:rsid w:val="00994A45"/>
    <w:rsid w:val="00995791"/>
    <w:rsid w:val="009A6FDA"/>
    <w:rsid w:val="009A7044"/>
    <w:rsid w:val="009A7F98"/>
    <w:rsid w:val="009B1F2B"/>
    <w:rsid w:val="009B29D7"/>
    <w:rsid w:val="009B5E18"/>
    <w:rsid w:val="009B7FAF"/>
    <w:rsid w:val="009C5AA7"/>
    <w:rsid w:val="009D25BF"/>
    <w:rsid w:val="009D4D85"/>
    <w:rsid w:val="009D64F2"/>
    <w:rsid w:val="009D6899"/>
    <w:rsid w:val="009E1AF4"/>
    <w:rsid w:val="00A00F7A"/>
    <w:rsid w:val="00A05905"/>
    <w:rsid w:val="00A063CB"/>
    <w:rsid w:val="00A063D2"/>
    <w:rsid w:val="00A100E4"/>
    <w:rsid w:val="00A11455"/>
    <w:rsid w:val="00A12BB6"/>
    <w:rsid w:val="00A14CAD"/>
    <w:rsid w:val="00A16D52"/>
    <w:rsid w:val="00A22811"/>
    <w:rsid w:val="00A2557C"/>
    <w:rsid w:val="00A355ED"/>
    <w:rsid w:val="00A37994"/>
    <w:rsid w:val="00A40E92"/>
    <w:rsid w:val="00A431BD"/>
    <w:rsid w:val="00A44B52"/>
    <w:rsid w:val="00A46C96"/>
    <w:rsid w:val="00A57481"/>
    <w:rsid w:val="00A60743"/>
    <w:rsid w:val="00A67378"/>
    <w:rsid w:val="00A7242E"/>
    <w:rsid w:val="00A73FDA"/>
    <w:rsid w:val="00A769FF"/>
    <w:rsid w:val="00A80C83"/>
    <w:rsid w:val="00A83F2F"/>
    <w:rsid w:val="00A876D9"/>
    <w:rsid w:val="00A91E6F"/>
    <w:rsid w:val="00A92AD6"/>
    <w:rsid w:val="00A949C4"/>
    <w:rsid w:val="00A97B56"/>
    <w:rsid w:val="00AA11B8"/>
    <w:rsid w:val="00AA43BB"/>
    <w:rsid w:val="00AA5834"/>
    <w:rsid w:val="00AB0506"/>
    <w:rsid w:val="00AB1E38"/>
    <w:rsid w:val="00AB36DD"/>
    <w:rsid w:val="00AC0E52"/>
    <w:rsid w:val="00AC10B8"/>
    <w:rsid w:val="00AC25E1"/>
    <w:rsid w:val="00AC5139"/>
    <w:rsid w:val="00AD4A43"/>
    <w:rsid w:val="00AE720B"/>
    <w:rsid w:val="00AF35C4"/>
    <w:rsid w:val="00AF3F49"/>
    <w:rsid w:val="00AF4A0F"/>
    <w:rsid w:val="00AF55B5"/>
    <w:rsid w:val="00B062F2"/>
    <w:rsid w:val="00B07396"/>
    <w:rsid w:val="00B07E80"/>
    <w:rsid w:val="00B149AB"/>
    <w:rsid w:val="00B15F2C"/>
    <w:rsid w:val="00B21022"/>
    <w:rsid w:val="00B23C02"/>
    <w:rsid w:val="00B23C76"/>
    <w:rsid w:val="00B24784"/>
    <w:rsid w:val="00B254B2"/>
    <w:rsid w:val="00B26BEF"/>
    <w:rsid w:val="00B30E31"/>
    <w:rsid w:val="00B41179"/>
    <w:rsid w:val="00B425C6"/>
    <w:rsid w:val="00B4350C"/>
    <w:rsid w:val="00B435DF"/>
    <w:rsid w:val="00B43830"/>
    <w:rsid w:val="00B5081A"/>
    <w:rsid w:val="00B679F3"/>
    <w:rsid w:val="00B7089A"/>
    <w:rsid w:val="00B712BB"/>
    <w:rsid w:val="00B71DD5"/>
    <w:rsid w:val="00B72006"/>
    <w:rsid w:val="00B73B86"/>
    <w:rsid w:val="00B73C0C"/>
    <w:rsid w:val="00B85867"/>
    <w:rsid w:val="00B86824"/>
    <w:rsid w:val="00B86F0A"/>
    <w:rsid w:val="00B9115D"/>
    <w:rsid w:val="00B924E8"/>
    <w:rsid w:val="00B9558F"/>
    <w:rsid w:val="00BA0909"/>
    <w:rsid w:val="00BA21A5"/>
    <w:rsid w:val="00BA52BE"/>
    <w:rsid w:val="00BA70DF"/>
    <w:rsid w:val="00BA7A8C"/>
    <w:rsid w:val="00BA7D80"/>
    <w:rsid w:val="00BB0465"/>
    <w:rsid w:val="00BB2D59"/>
    <w:rsid w:val="00BB6D21"/>
    <w:rsid w:val="00BC228D"/>
    <w:rsid w:val="00BC2601"/>
    <w:rsid w:val="00BC50C4"/>
    <w:rsid w:val="00BC668B"/>
    <w:rsid w:val="00BD2160"/>
    <w:rsid w:val="00BD54CA"/>
    <w:rsid w:val="00BE0EF8"/>
    <w:rsid w:val="00BE1C4B"/>
    <w:rsid w:val="00BE202C"/>
    <w:rsid w:val="00BE4D1A"/>
    <w:rsid w:val="00BF364F"/>
    <w:rsid w:val="00BF4032"/>
    <w:rsid w:val="00C0720C"/>
    <w:rsid w:val="00C10A68"/>
    <w:rsid w:val="00C13A0E"/>
    <w:rsid w:val="00C2096D"/>
    <w:rsid w:val="00C21092"/>
    <w:rsid w:val="00C22A77"/>
    <w:rsid w:val="00C22F46"/>
    <w:rsid w:val="00C23895"/>
    <w:rsid w:val="00C25CDC"/>
    <w:rsid w:val="00C276F0"/>
    <w:rsid w:val="00C308C8"/>
    <w:rsid w:val="00C30BE0"/>
    <w:rsid w:val="00C34CC7"/>
    <w:rsid w:val="00C358C9"/>
    <w:rsid w:val="00C4087D"/>
    <w:rsid w:val="00C541EC"/>
    <w:rsid w:val="00C556D1"/>
    <w:rsid w:val="00C66480"/>
    <w:rsid w:val="00C664C6"/>
    <w:rsid w:val="00C66E61"/>
    <w:rsid w:val="00C80482"/>
    <w:rsid w:val="00C82FDD"/>
    <w:rsid w:val="00C83AB4"/>
    <w:rsid w:val="00C85EC1"/>
    <w:rsid w:val="00C956BF"/>
    <w:rsid w:val="00C96D83"/>
    <w:rsid w:val="00CA2A03"/>
    <w:rsid w:val="00CA2BC8"/>
    <w:rsid w:val="00CA3CC8"/>
    <w:rsid w:val="00CA5391"/>
    <w:rsid w:val="00CA635F"/>
    <w:rsid w:val="00CC148F"/>
    <w:rsid w:val="00CC79FB"/>
    <w:rsid w:val="00CD0D96"/>
    <w:rsid w:val="00CD1547"/>
    <w:rsid w:val="00CD3123"/>
    <w:rsid w:val="00CD66FF"/>
    <w:rsid w:val="00CE1F20"/>
    <w:rsid w:val="00CE5936"/>
    <w:rsid w:val="00CE6BB6"/>
    <w:rsid w:val="00CE7DEA"/>
    <w:rsid w:val="00CF26A5"/>
    <w:rsid w:val="00CF3ECB"/>
    <w:rsid w:val="00D0266A"/>
    <w:rsid w:val="00D04314"/>
    <w:rsid w:val="00D047BA"/>
    <w:rsid w:val="00D05B53"/>
    <w:rsid w:val="00D104EB"/>
    <w:rsid w:val="00D11705"/>
    <w:rsid w:val="00D13409"/>
    <w:rsid w:val="00D179C3"/>
    <w:rsid w:val="00D263E0"/>
    <w:rsid w:val="00D336D9"/>
    <w:rsid w:val="00D3443A"/>
    <w:rsid w:val="00D34F0E"/>
    <w:rsid w:val="00D37C44"/>
    <w:rsid w:val="00D443D4"/>
    <w:rsid w:val="00D452BB"/>
    <w:rsid w:val="00D54877"/>
    <w:rsid w:val="00D57532"/>
    <w:rsid w:val="00D604D8"/>
    <w:rsid w:val="00D64B13"/>
    <w:rsid w:val="00D663A2"/>
    <w:rsid w:val="00D70CFD"/>
    <w:rsid w:val="00D73CFF"/>
    <w:rsid w:val="00D74836"/>
    <w:rsid w:val="00D748F2"/>
    <w:rsid w:val="00D80468"/>
    <w:rsid w:val="00D821B7"/>
    <w:rsid w:val="00D823D5"/>
    <w:rsid w:val="00D85DED"/>
    <w:rsid w:val="00D939EA"/>
    <w:rsid w:val="00D970DA"/>
    <w:rsid w:val="00DA7260"/>
    <w:rsid w:val="00DB0705"/>
    <w:rsid w:val="00DB68F5"/>
    <w:rsid w:val="00DB7E89"/>
    <w:rsid w:val="00DC1670"/>
    <w:rsid w:val="00DC2BD1"/>
    <w:rsid w:val="00DC5814"/>
    <w:rsid w:val="00DC668F"/>
    <w:rsid w:val="00DD0450"/>
    <w:rsid w:val="00DD5670"/>
    <w:rsid w:val="00DD6A90"/>
    <w:rsid w:val="00DE0ECF"/>
    <w:rsid w:val="00DE1094"/>
    <w:rsid w:val="00DE65AB"/>
    <w:rsid w:val="00DF2824"/>
    <w:rsid w:val="00DF65CE"/>
    <w:rsid w:val="00E01F29"/>
    <w:rsid w:val="00E02892"/>
    <w:rsid w:val="00E03565"/>
    <w:rsid w:val="00E037B9"/>
    <w:rsid w:val="00E04BF2"/>
    <w:rsid w:val="00E05C0F"/>
    <w:rsid w:val="00E06A4A"/>
    <w:rsid w:val="00E133EE"/>
    <w:rsid w:val="00E17321"/>
    <w:rsid w:val="00E20368"/>
    <w:rsid w:val="00E2059F"/>
    <w:rsid w:val="00E2080A"/>
    <w:rsid w:val="00E24DF9"/>
    <w:rsid w:val="00E253BB"/>
    <w:rsid w:val="00E26CD8"/>
    <w:rsid w:val="00E27EBD"/>
    <w:rsid w:val="00E40A36"/>
    <w:rsid w:val="00E43B51"/>
    <w:rsid w:val="00E45F24"/>
    <w:rsid w:val="00E473F0"/>
    <w:rsid w:val="00E50CCF"/>
    <w:rsid w:val="00E51859"/>
    <w:rsid w:val="00E51AB7"/>
    <w:rsid w:val="00E537C4"/>
    <w:rsid w:val="00E63061"/>
    <w:rsid w:val="00E66A08"/>
    <w:rsid w:val="00E725DB"/>
    <w:rsid w:val="00E75ECA"/>
    <w:rsid w:val="00E810B0"/>
    <w:rsid w:val="00E81E18"/>
    <w:rsid w:val="00E823DE"/>
    <w:rsid w:val="00E8254D"/>
    <w:rsid w:val="00E83A4B"/>
    <w:rsid w:val="00E87B9B"/>
    <w:rsid w:val="00E93649"/>
    <w:rsid w:val="00E95688"/>
    <w:rsid w:val="00E957D6"/>
    <w:rsid w:val="00E97ADA"/>
    <w:rsid w:val="00E97C8B"/>
    <w:rsid w:val="00EA1AA3"/>
    <w:rsid w:val="00EA4051"/>
    <w:rsid w:val="00EA667E"/>
    <w:rsid w:val="00EA6A10"/>
    <w:rsid w:val="00EA6A58"/>
    <w:rsid w:val="00EB1212"/>
    <w:rsid w:val="00EB27EA"/>
    <w:rsid w:val="00EC1153"/>
    <w:rsid w:val="00EC1256"/>
    <w:rsid w:val="00EC2333"/>
    <w:rsid w:val="00EC645A"/>
    <w:rsid w:val="00ED1DC6"/>
    <w:rsid w:val="00ED4D84"/>
    <w:rsid w:val="00EE0FB8"/>
    <w:rsid w:val="00EE1B02"/>
    <w:rsid w:val="00EE3FCA"/>
    <w:rsid w:val="00EF3CE7"/>
    <w:rsid w:val="00EF6510"/>
    <w:rsid w:val="00EF6EEE"/>
    <w:rsid w:val="00F005C4"/>
    <w:rsid w:val="00F02135"/>
    <w:rsid w:val="00F026EF"/>
    <w:rsid w:val="00F101DE"/>
    <w:rsid w:val="00F114B2"/>
    <w:rsid w:val="00F12AD5"/>
    <w:rsid w:val="00F1458F"/>
    <w:rsid w:val="00F22625"/>
    <w:rsid w:val="00F248DE"/>
    <w:rsid w:val="00F25741"/>
    <w:rsid w:val="00F26ED0"/>
    <w:rsid w:val="00F30720"/>
    <w:rsid w:val="00F32AEF"/>
    <w:rsid w:val="00F364C1"/>
    <w:rsid w:val="00F37BD2"/>
    <w:rsid w:val="00F37C06"/>
    <w:rsid w:val="00F419FA"/>
    <w:rsid w:val="00F444AE"/>
    <w:rsid w:val="00F4523A"/>
    <w:rsid w:val="00F477BA"/>
    <w:rsid w:val="00F50D9B"/>
    <w:rsid w:val="00F53DA7"/>
    <w:rsid w:val="00F54717"/>
    <w:rsid w:val="00F56EFE"/>
    <w:rsid w:val="00F56F44"/>
    <w:rsid w:val="00F571FC"/>
    <w:rsid w:val="00F6117B"/>
    <w:rsid w:val="00F66BCE"/>
    <w:rsid w:val="00F66F8A"/>
    <w:rsid w:val="00F736D2"/>
    <w:rsid w:val="00F74EA1"/>
    <w:rsid w:val="00F85EED"/>
    <w:rsid w:val="00F877BF"/>
    <w:rsid w:val="00F9241C"/>
    <w:rsid w:val="00F9646F"/>
    <w:rsid w:val="00F9728C"/>
    <w:rsid w:val="00F97EA8"/>
    <w:rsid w:val="00FA1804"/>
    <w:rsid w:val="00FB0C8D"/>
    <w:rsid w:val="00FB1E8B"/>
    <w:rsid w:val="00FB2509"/>
    <w:rsid w:val="00FB6D8D"/>
    <w:rsid w:val="00FC0750"/>
    <w:rsid w:val="00FC0F73"/>
    <w:rsid w:val="00FC32E5"/>
    <w:rsid w:val="00FC4074"/>
    <w:rsid w:val="00FC76FA"/>
    <w:rsid w:val="00FC7EEE"/>
    <w:rsid w:val="00FD0055"/>
    <w:rsid w:val="00FD045A"/>
    <w:rsid w:val="00FF58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147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A100E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100E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sid w:val="00646E50"/>
    <w:rPr>
      <w:sz w:val="16"/>
      <w:szCs w:val="16"/>
    </w:rPr>
  </w:style>
  <w:style w:type="paragraph" w:styleId="CommentText">
    <w:name w:val="annotation text"/>
    <w:basedOn w:val="Normal"/>
    <w:link w:val="CommentTextChar"/>
    <w:uiPriority w:val="99"/>
    <w:semiHidden/>
    <w:rsid w:val="00646E50"/>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646E5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646E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6E50"/>
    <w:rPr>
      <w:rFonts w:ascii="Tahoma" w:hAnsi="Tahoma" w:cs="Tahoma"/>
      <w:sz w:val="16"/>
      <w:szCs w:val="16"/>
    </w:rPr>
  </w:style>
  <w:style w:type="paragraph" w:styleId="ListParagraph">
    <w:name w:val="List Paragraph"/>
    <w:basedOn w:val="Normal"/>
    <w:link w:val="ListParagraphChar"/>
    <w:uiPriority w:val="34"/>
    <w:qFormat/>
    <w:rsid w:val="00383BA0"/>
    <w:pPr>
      <w:ind w:left="720"/>
      <w:contextualSpacing/>
    </w:pPr>
  </w:style>
  <w:style w:type="paragraph" w:styleId="CommentSubject">
    <w:name w:val="annotation subject"/>
    <w:basedOn w:val="CommentText"/>
    <w:next w:val="CommentText"/>
    <w:link w:val="CommentSubjectChar"/>
    <w:uiPriority w:val="99"/>
    <w:semiHidden/>
    <w:unhideWhenUsed/>
    <w:rsid w:val="006D4157"/>
    <w:pPr>
      <w:spacing w:after="200"/>
    </w:pPr>
    <w:rPr>
      <w:rFonts w:ascii="Arial" w:eastAsiaTheme="minorHAnsi" w:hAnsi="Arial" w:cstheme="minorBidi"/>
      <w:b/>
      <w:bCs/>
    </w:rPr>
  </w:style>
  <w:style w:type="character" w:customStyle="1" w:styleId="CommentSubjectChar">
    <w:name w:val="Comment Subject Char"/>
    <w:basedOn w:val="CommentTextChar"/>
    <w:link w:val="CommentSubject"/>
    <w:uiPriority w:val="99"/>
    <w:semiHidden/>
    <w:rsid w:val="006D4157"/>
    <w:rPr>
      <w:rFonts w:ascii="Times New Roman" w:eastAsia="Times New Roman" w:hAnsi="Times New Roman" w:cs="Times New Roman"/>
      <w:b/>
      <w:bCs/>
      <w:sz w:val="20"/>
      <w:szCs w:val="20"/>
    </w:rPr>
  </w:style>
  <w:style w:type="table" w:styleId="TableGrid">
    <w:name w:val="Table Grid"/>
    <w:basedOn w:val="TableNormal"/>
    <w:uiPriority w:val="59"/>
    <w:rsid w:val="00B73C0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2">
    <w:name w:val="Appendix 2"/>
    <w:basedOn w:val="Heading2"/>
    <w:next w:val="Normal"/>
    <w:qFormat/>
    <w:rsid w:val="00A100E4"/>
    <w:pPr>
      <w:numPr>
        <w:ilvl w:val="1"/>
        <w:numId w:val="15"/>
      </w:numPr>
      <w:tabs>
        <w:tab w:val="num" w:pos="360"/>
      </w:tabs>
      <w:spacing w:after="120" w:line="240" w:lineRule="auto"/>
      <w:ind w:left="576" w:hanging="576"/>
    </w:pPr>
    <w:rPr>
      <w:rFonts w:ascii="Cambria" w:eastAsia="Times New Roman" w:hAnsi="Cambria" w:cs="Times New Roman"/>
      <w:bCs w:val="0"/>
      <w:color w:val="auto"/>
      <w:sz w:val="28"/>
      <w:szCs w:val="28"/>
    </w:rPr>
  </w:style>
  <w:style w:type="paragraph" w:customStyle="1" w:styleId="Appendix3">
    <w:name w:val="Appendix 3"/>
    <w:basedOn w:val="Heading3"/>
    <w:next w:val="Normal"/>
    <w:qFormat/>
    <w:rsid w:val="00A100E4"/>
    <w:pPr>
      <w:keepLines w:val="0"/>
      <w:numPr>
        <w:ilvl w:val="2"/>
        <w:numId w:val="15"/>
      </w:numPr>
      <w:shd w:val="clear" w:color="auto" w:fill="FFFFFF"/>
      <w:spacing w:line="240" w:lineRule="auto"/>
      <w:ind w:left="864" w:hanging="864"/>
    </w:pPr>
    <w:rPr>
      <w:rFonts w:ascii="Cambria" w:eastAsia="Times New Roman" w:hAnsi="Cambria" w:cs="Times New Roman"/>
      <w:color w:val="auto"/>
      <w:sz w:val="26"/>
      <w:szCs w:val="26"/>
    </w:rPr>
  </w:style>
  <w:style w:type="numbering" w:customStyle="1" w:styleId="AppendixHeadings">
    <w:name w:val="Appendix Headings"/>
    <w:uiPriority w:val="99"/>
    <w:rsid w:val="00A100E4"/>
    <w:pPr>
      <w:numPr>
        <w:numId w:val="15"/>
      </w:numPr>
    </w:pPr>
  </w:style>
  <w:style w:type="paragraph" w:customStyle="1" w:styleId="Appendix4">
    <w:name w:val="Appendix 4"/>
    <w:basedOn w:val="Appendix3"/>
    <w:qFormat/>
    <w:rsid w:val="00A100E4"/>
    <w:pPr>
      <w:numPr>
        <w:ilvl w:val="3"/>
      </w:numPr>
      <w:spacing w:after="120"/>
      <w:ind w:left="2880" w:hanging="360"/>
    </w:pPr>
    <w:rPr>
      <w:sz w:val="24"/>
      <w:szCs w:val="24"/>
    </w:rPr>
  </w:style>
  <w:style w:type="paragraph" w:customStyle="1" w:styleId="Appendix5">
    <w:name w:val="Appendix 5"/>
    <w:basedOn w:val="Appendix4"/>
    <w:qFormat/>
    <w:rsid w:val="00A100E4"/>
    <w:pPr>
      <w:numPr>
        <w:ilvl w:val="4"/>
      </w:numPr>
      <w:shd w:val="clear" w:color="auto" w:fill="FFFFFF" w:themeFill="background1"/>
      <w:ind w:left="1296" w:hanging="1296"/>
    </w:pPr>
  </w:style>
  <w:style w:type="paragraph" w:customStyle="1" w:styleId="Appendix6">
    <w:name w:val="Appendix 6"/>
    <w:basedOn w:val="Appendix5"/>
    <w:qFormat/>
    <w:rsid w:val="00A100E4"/>
    <w:pPr>
      <w:numPr>
        <w:ilvl w:val="5"/>
      </w:numPr>
      <w:shd w:val="clear" w:color="auto" w:fill="auto"/>
      <w:tabs>
        <w:tab w:val="num" w:pos="360"/>
      </w:tabs>
      <w:ind w:left="4320" w:hanging="180"/>
      <w:outlineLvl w:val="9"/>
    </w:pPr>
    <w:rPr>
      <w:rFonts w:eastAsia="Arial"/>
      <w:i/>
    </w:rPr>
  </w:style>
  <w:style w:type="paragraph" w:customStyle="1" w:styleId="Appendix7">
    <w:name w:val="Appendix 7"/>
    <w:basedOn w:val="Appendix6"/>
    <w:qFormat/>
    <w:rsid w:val="00A100E4"/>
    <w:pPr>
      <w:numPr>
        <w:ilvl w:val="6"/>
      </w:numPr>
      <w:tabs>
        <w:tab w:val="num" w:pos="360"/>
      </w:tabs>
      <w:ind w:left="1699" w:hanging="1512"/>
    </w:pPr>
    <w:rPr>
      <w:sz w:val="22"/>
      <w:szCs w:val="22"/>
    </w:rPr>
  </w:style>
  <w:style w:type="paragraph" w:customStyle="1" w:styleId="Appendix8">
    <w:name w:val="Appendix 8"/>
    <w:basedOn w:val="Appendix7"/>
    <w:qFormat/>
    <w:rsid w:val="00A100E4"/>
    <w:pPr>
      <w:numPr>
        <w:ilvl w:val="7"/>
      </w:numPr>
      <w:tabs>
        <w:tab w:val="num" w:pos="360"/>
      </w:tabs>
      <w:ind w:left="2088" w:hanging="1512"/>
    </w:pPr>
  </w:style>
  <w:style w:type="character" w:customStyle="1" w:styleId="Heading2Char">
    <w:name w:val="Heading 2 Char"/>
    <w:basedOn w:val="DefaultParagraphFont"/>
    <w:link w:val="Heading2"/>
    <w:uiPriority w:val="9"/>
    <w:semiHidden/>
    <w:rsid w:val="00A100E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A100E4"/>
    <w:rPr>
      <w:rFonts w:asciiTheme="majorHAnsi" w:eastAsiaTheme="majorEastAsia" w:hAnsiTheme="majorHAnsi" w:cstheme="majorBidi"/>
      <w:b/>
      <w:bCs/>
      <w:color w:val="4F81BD" w:themeColor="accent1"/>
    </w:rPr>
  </w:style>
  <w:style w:type="table" w:styleId="MediumShading1-Accent1">
    <w:name w:val="Medium Shading 1 Accent 1"/>
    <w:basedOn w:val="TableNormal"/>
    <w:uiPriority w:val="63"/>
    <w:rsid w:val="009D25BF"/>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NormalWeb">
    <w:name w:val="Normal (Web)"/>
    <w:basedOn w:val="Normal"/>
    <w:uiPriority w:val="99"/>
    <w:unhideWhenUsed/>
    <w:rsid w:val="009D25BF"/>
    <w:pPr>
      <w:spacing w:before="100" w:beforeAutospacing="1" w:after="100" w:afterAutospacing="1" w:line="240" w:lineRule="auto"/>
    </w:pPr>
    <w:rPr>
      <w:rFonts w:ascii="Times New Roman" w:eastAsia="Times New Roman" w:hAnsi="Times New Roman" w:cs="Times New Roman"/>
      <w:szCs w:val="24"/>
    </w:rPr>
  </w:style>
  <w:style w:type="paragraph" w:styleId="Revision">
    <w:name w:val="Revision"/>
    <w:hidden/>
    <w:uiPriority w:val="99"/>
    <w:semiHidden/>
    <w:rsid w:val="00E87B9B"/>
    <w:pPr>
      <w:spacing w:after="0" w:line="240" w:lineRule="auto"/>
    </w:pPr>
  </w:style>
  <w:style w:type="character" w:customStyle="1" w:styleId="ListParagraphChar">
    <w:name w:val="List Paragraph Char"/>
    <w:basedOn w:val="DefaultParagraphFont"/>
    <w:link w:val="ListParagraph"/>
    <w:uiPriority w:val="34"/>
    <w:locked/>
    <w:rsid w:val="00C358C9"/>
  </w:style>
  <w:style w:type="character" w:styleId="Hyperlink">
    <w:name w:val="Hyperlink"/>
    <w:basedOn w:val="DefaultParagraphFont"/>
    <w:uiPriority w:val="99"/>
    <w:semiHidden/>
    <w:unhideWhenUsed/>
    <w:rsid w:val="00D54877"/>
    <w:rPr>
      <w:color w:val="0000FF"/>
      <w:u w:val="single"/>
    </w:rPr>
  </w:style>
  <w:style w:type="character" w:styleId="FollowedHyperlink">
    <w:name w:val="FollowedHyperlink"/>
    <w:basedOn w:val="DefaultParagraphFont"/>
    <w:uiPriority w:val="99"/>
    <w:semiHidden/>
    <w:unhideWhenUsed/>
    <w:rsid w:val="00D54877"/>
    <w:rPr>
      <w:color w:val="800080" w:themeColor="followedHyperlink"/>
      <w:u w:val="single"/>
    </w:rPr>
  </w:style>
  <w:style w:type="paragraph" w:customStyle="1" w:styleId="StyleB2">
    <w:name w:val="StyleB2"/>
    <w:basedOn w:val="ListParagraph"/>
    <w:link w:val="StyleB2Char"/>
    <w:rsid w:val="00BD2160"/>
    <w:pPr>
      <w:numPr>
        <w:numId w:val="31"/>
      </w:numPr>
      <w:spacing w:before="60" w:after="60" w:line="240" w:lineRule="auto"/>
      <w:contextualSpacing w:val="0"/>
    </w:pPr>
    <w:rPr>
      <w:rFonts w:cs="Arial"/>
      <w:szCs w:val="24"/>
    </w:rPr>
  </w:style>
  <w:style w:type="character" w:customStyle="1" w:styleId="StyleB2Char">
    <w:name w:val="StyleB2 Char"/>
    <w:basedOn w:val="ListParagraphChar"/>
    <w:link w:val="StyleB2"/>
    <w:rsid w:val="00BD2160"/>
    <w:rPr>
      <w:rFonts w:cs="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A100E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100E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sid w:val="00646E50"/>
    <w:rPr>
      <w:sz w:val="16"/>
      <w:szCs w:val="16"/>
    </w:rPr>
  </w:style>
  <w:style w:type="paragraph" w:styleId="CommentText">
    <w:name w:val="annotation text"/>
    <w:basedOn w:val="Normal"/>
    <w:link w:val="CommentTextChar"/>
    <w:uiPriority w:val="99"/>
    <w:semiHidden/>
    <w:rsid w:val="00646E50"/>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646E5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646E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6E50"/>
    <w:rPr>
      <w:rFonts w:ascii="Tahoma" w:hAnsi="Tahoma" w:cs="Tahoma"/>
      <w:sz w:val="16"/>
      <w:szCs w:val="16"/>
    </w:rPr>
  </w:style>
  <w:style w:type="paragraph" w:styleId="ListParagraph">
    <w:name w:val="List Paragraph"/>
    <w:basedOn w:val="Normal"/>
    <w:link w:val="ListParagraphChar"/>
    <w:uiPriority w:val="34"/>
    <w:qFormat/>
    <w:rsid w:val="00383BA0"/>
    <w:pPr>
      <w:ind w:left="720"/>
      <w:contextualSpacing/>
    </w:pPr>
  </w:style>
  <w:style w:type="paragraph" w:styleId="CommentSubject">
    <w:name w:val="annotation subject"/>
    <w:basedOn w:val="CommentText"/>
    <w:next w:val="CommentText"/>
    <w:link w:val="CommentSubjectChar"/>
    <w:uiPriority w:val="99"/>
    <w:semiHidden/>
    <w:unhideWhenUsed/>
    <w:rsid w:val="006D4157"/>
    <w:pPr>
      <w:spacing w:after="200"/>
    </w:pPr>
    <w:rPr>
      <w:rFonts w:ascii="Arial" w:eastAsiaTheme="minorHAnsi" w:hAnsi="Arial" w:cstheme="minorBidi"/>
      <w:b/>
      <w:bCs/>
    </w:rPr>
  </w:style>
  <w:style w:type="character" w:customStyle="1" w:styleId="CommentSubjectChar">
    <w:name w:val="Comment Subject Char"/>
    <w:basedOn w:val="CommentTextChar"/>
    <w:link w:val="CommentSubject"/>
    <w:uiPriority w:val="99"/>
    <w:semiHidden/>
    <w:rsid w:val="006D4157"/>
    <w:rPr>
      <w:rFonts w:ascii="Times New Roman" w:eastAsia="Times New Roman" w:hAnsi="Times New Roman" w:cs="Times New Roman"/>
      <w:b/>
      <w:bCs/>
      <w:sz w:val="20"/>
      <w:szCs w:val="20"/>
    </w:rPr>
  </w:style>
  <w:style w:type="table" w:styleId="TableGrid">
    <w:name w:val="Table Grid"/>
    <w:basedOn w:val="TableNormal"/>
    <w:uiPriority w:val="59"/>
    <w:rsid w:val="00B73C0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2">
    <w:name w:val="Appendix 2"/>
    <w:basedOn w:val="Heading2"/>
    <w:next w:val="Normal"/>
    <w:qFormat/>
    <w:rsid w:val="00A100E4"/>
    <w:pPr>
      <w:numPr>
        <w:ilvl w:val="1"/>
        <w:numId w:val="15"/>
      </w:numPr>
      <w:tabs>
        <w:tab w:val="num" w:pos="360"/>
      </w:tabs>
      <w:spacing w:after="120" w:line="240" w:lineRule="auto"/>
      <w:ind w:left="576" w:hanging="576"/>
    </w:pPr>
    <w:rPr>
      <w:rFonts w:ascii="Cambria" w:eastAsia="Times New Roman" w:hAnsi="Cambria" w:cs="Times New Roman"/>
      <w:bCs w:val="0"/>
      <w:color w:val="auto"/>
      <w:sz w:val="28"/>
      <w:szCs w:val="28"/>
    </w:rPr>
  </w:style>
  <w:style w:type="paragraph" w:customStyle="1" w:styleId="Appendix3">
    <w:name w:val="Appendix 3"/>
    <w:basedOn w:val="Heading3"/>
    <w:next w:val="Normal"/>
    <w:qFormat/>
    <w:rsid w:val="00A100E4"/>
    <w:pPr>
      <w:keepLines w:val="0"/>
      <w:numPr>
        <w:ilvl w:val="2"/>
        <w:numId w:val="15"/>
      </w:numPr>
      <w:shd w:val="clear" w:color="auto" w:fill="FFFFFF"/>
      <w:spacing w:line="240" w:lineRule="auto"/>
      <w:ind w:left="864" w:hanging="864"/>
    </w:pPr>
    <w:rPr>
      <w:rFonts w:ascii="Cambria" w:eastAsia="Times New Roman" w:hAnsi="Cambria" w:cs="Times New Roman"/>
      <w:color w:val="auto"/>
      <w:sz w:val="26"/>
      <w:szCs w:val="26"/>
    </w:rPr>
  </w:style>
  <w:style w:type="numbering" w:customStyle="1" w:styleId="AppendixHeadings">
    <w:name w:val="Appendix Headings"/>
    <w:uiPriority w:val="99"/>
    <w:rsid w:val="00A100E4"/>
    <w:pPr>
      <w:numPr>
        <w:numId w:val="15"/>
      </w:numPr>
    </w:pPr>
  </w:style>
  <w:style w:type="paragraph" w:customStyle="1" w:styleId="Appendix4">
    <w:name w:val="Appendix 4"/>
    <w:basedOn w:val="Appendix3"/>
    <w:qFormat/>
    <w:rsid w:val="00A100E4"/>
    <w:pPr>
      <w:numPr>
        <w:ilvl w:val="3"/>
      </w:numPr>
      <w:spacing w:after="120"/>
      <w:ind w:left="2880" w:hanging="360"/>
    </w:pPr>
    <w:rPr>
      <w:sz w:val="24"/>
      <w:szCs w:val="24"/>
    </w:rPr>
  </w:style>
  <w:style w:type="paragraph" w:customStyle="1" w:styleId="Appendix5">
    <w:name w:val="Appendix 5"/>
    <w:basedOn w:val="Appendix4"/>
    <w:qFormat/>
    <w:rsid w:val="00A100E4"/>
    <w:pPr>
      <w:numPr>
        <w:ilvl w:val="4"/>
      </w:numPr>
      <w:shd w:val="clear" w:color="auto" w:fill="FFFFFF" w:themeFill="background1"/>
      <w:ind w:left="1296" w:hanging="1296"/>
    </w:pPr>
  </w:style>
  <w:style w:type="paragraph" w:customStyle="1" w:styleId="Appendix6">
    <w:name w:val="Appendix 6"/>
    <w:basedOn w:val="Appendix5"/>
    <w:qFormat/>
    <w:rsid w:val="00A100E4"/>
    <w:pPr>
      <w:numPr>
        <w:ilvl w:val="5"/>
      </w:numPr>
      <w:shd w:val="clear" w:color="auto" w:fill="auto"/>
      <w:tabs>
        <w:tab w:val="num" w:pos="360"/>
      </w:tabs>
      <w:ind w:left="4320" w:hanging="180"/>
      <w:outlineLvl w:val="9"/>
    </w:pPr>
    <w:rPr>
      <w:rFonts w:eastAsia="Arial"/>
      <w:i/>
    </w:rPr>
  </w:style>
  <w:style w:type="paragraph" w:customStyle="1" w:styleId="Appendix7">
    <w:name w:val="Appendix 7"/>
    <w:basedOn w:val="Appendix6"/>
    <w:qFormat/>
    <w:rsid w:val="00A100E4"/>
    <w:pPr>
      <w:numPr>
        <w:ilvl w:val="6"/>
      </w:numPr>
      <w:tabs>
        <w:tab w:val="num" w:pos="360"/>
      </w:tabs>
      <w:ind w:left="1699" w:hanging="1512"/>
    </w:pPr>
    <w:rPr>
      <w:sz w:val="22"/>
      <w:szCs w:val="22"/>
    </w:rPr>
  </w:style>
  <w:style w:type="paragraph" w:customStyle="1" w:styleId="Appendix8">
    <w:name w:val="Appendix 8"/>
    <w:basedOn w:val="Appendix7"/>
    <w:qFormat/>
    <w:rsid w:val="00A100E4"/>
    <w:pPr>
      <w:numPr>
        <w:ilvl w:val="7"/>
      </w:numPr>
      <w:tabs>
        <w:tab w:val="num" w:pos="360"/>
      </w:tabs>
      <w:ind w:left="2088" w:hanging="1512"/>
    </w:pPr>
  </w:style>
  <w:style w:type="character" w:customStyle="1" w:styleId="Heading2Char">
    <w:name w:val="Heading 2 Char"/>
    <w:basedOn w:val="DefaultParagraphFont"/>
    <w:link w:val="Heading2"/>
    <w:uiPriority w:val="9"/>
    <w:semiHidden/>
    <w:rsid w:val="00A100E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A100E4"/>
    <w:rPr>
      <w:rFonts w:asciiTheme="majorHAnsi" w:eastAsiaTheme="majorEastAsia" w:hAnsiTheme="majorHAnsi" w:cstheme="majorBidi"/>
      <w:b/>
      <w:bCs/>
      <w:color w:val="4F81BD" w:themeColor="accent1"/>
    </w:rPr>
  </w:style>
  <w:style w:type="table" w:styleId="MediumShading1-Accent1">
    <w:name w:val="Medium Shading 1 Accent 1"/>
    <w:basedOn w:val="TableNormal"/>
    <w:uiPriority w:val="63"/>
    <w:rsid w:val="009D25BF"/>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NormalWeb">
    <w:name w:val="Normal (Web)"/>
    <w:basedOn w:val="Normal"/>
    <w:uiPriority w:val="99"/>
    <w:unhideWhenUsed/>
    <w:rsid w:val="009D25BF"/>
    <w:pPr>
      <w:spacing w:before="100" w:beforeAutospacing="1" w:after="100" w:afterAutospacing="1" w:line="240" w:lineRule="auto"/>
    </w:pPr>
    <w:rPr>
      <w:rFonts w:ascii="Times New Roman" w:eastAsia="Times New Roman" w:hAnsi="Times New Roman" w:cs="Times New Roman"/>
      <w:szCs w:val="24"/>
    </w:rPr>
  </w:style>
  <w:style w:type="paragraph" w:styleId="Revision">
    <w:name w:val="Revision"/>
    <w:hidden/>
    <w:uiPriority w:val="99"/>
    <w:semiHidden/>
    <w:rsid w:val="00E87B9B"/>
    <w:pPr>
      <w:spacing w:after="0" w:line="240" w:lineRule="auto"/>
    </w:pPr>
  </w:style>
  <w:style w:type="character" w:customStyle="1" w:styleId="ListParagraphChar">
    <w:name w:val="List Paragraph Char"/>
    <w:basedOn w:val="DefaultParagraphFont"/>
    <w:link w:val="ListParagraph"/>
    <w:uiPriority w:val="34"/>
    <w:locked/>
    <w:rsid w:val="00C358C9"/>
  </w:style>
  <w:style w:type="character" w:styleId="Hyperlink">
    <w:name w:val="Hyperlink"/>
    <w:basedOn w:val="DefaultParagraphFont"/>
    <w:uiPriority w:val="99"/>
    <w:semiHidden/>
    <w:unhideWhenUsed/>
    <w:rsid w:val="00D54877"/>
    <w:rPr>
      <w:color w:val="0000FF"/>
      <w:u w:val="single"/>
    </w:rPr>
  </w:style>
  <w:style w:type="character" w:styleId="FollowedHyperlink">
    <w:name w:val="FollowedHyperlink"/>
    <w:basedOn w:val="DefaultParagraphFont"/>
    <w:uiPriority w:val="99"/>
    <w:semiHidden/>
    <w:unhideWhenUsed/>
    <w:rsid w:val="00D54877"/>
    <w:rPr>
      <w:color w:val="800080" w:themeColor="followedHyperlink"/>
      <w:u w:val="single"/>
    </w:rPr>
  </w:style>
  <w:style w:type="paragraph" w:customStyle="1" w:styleId="StyleB2">
    <w:name w:val="StyleB2"/>
    <w:basedOn w:val="ListParagraph"/>
    <w:link w:val="StyleB2Char"/>
    <w:rsid w:val="00BD2160"/>
    <w:pPr>
      <w:numPr>
        <w:numId w:val="31"/>
      </w:numPr>
      <w:spacing w:before="60" w:after="60" w:line="240" w:lineRule="auto"/>
      <w:contextualSpacing w:val="0"/>
    </w:pPr>
    <w:rPr>
      <w:rFonts w:cs="Arial"/>
      <w:szCs w:val="24"/>
    </w:rPr>
  </w:style>
  <w:style w:type="character" w:customStyle="1" w:styleId="StyleB2Char">
    <w:name w:val="StyleB2 Char"/>
    <w:basedOn w:val="ListParagraphChar"/>
    <w:link w:val="StyleB2"/>
    <w:rsid w:val="00BD2160"/>
    <w:rPr>
      <w:rFonts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44863">
      <w:bodyDiv w:val="1"/>
      <w:marLeft w:val="0"/>
      <w:marRight w:val="0"/>
      <w:marTop w:val="0"/>
      <w:marBottom w:val="0"/>
      <w:divBdr>
        <w:top w:val="none" w:sz="0" w:space="0" w:color="auto"/>
        <w:left w:val="none" w:sz="0" w:space="0" w:color="auto"/>
        <w:bottom w:val="none" w:sz="0" w:space="0" w:color="auto"/>
        <w:right w:val="none" w:sz="0" w:space="0" w:color="auto"/>
      </w:divBdr>
    </w:div>
    <w:div w:id="298416062">
      <w:bodyDiv w:val="1"/>
      <w:marLeft w:val="0"/>
      <w:marRight w:val="0"/>
      <w:marTop w:val="0"/>
      <w:marBottom w:val="0"/>
      <w:divBdr>
        <w:top w:val="none" w:sz="0" w:space="0" w:color="auto"/>
        <w:left w:val="none" w:sz="0" w:space="0" w:color="auto"/>
        <w:bottom w:val="none" w:sz="0" w:space="0" w:color="auto"/>
        <w:right w:val="none" w:sz="0" w:space="0" w:color="auto"/>
      </w:divBdr>
    </w:div>
    <w:div w:id="340204480">
      <w:bodyDiv w:val="1"/>
      <w:marLeft w:val="0"/>
      <w:marRight w:val="0"/>
      <w:marTop w:val="0"/>
      <w:marBottom w:val="0"/>
      <w:divBdr>
        <w:top w:val="none" w:sz="0" w:space="0" w:color="auto"/>
        <w:left w:val="none" w:sz="0" w:space="0" w:color="auto"/>
        <w:bottom w:val="none" w:sz="0" w:space="0" w:color="auto"/>
        <w:right w:val="none" w:sz="0" w:space="0" w:color="auto"/>
      </w:divBdr>
    </w:div>
    <w:div w:id="393164645">
      <w:bodyDiv w:val="1"/>
      <w:marLeft w:val="0"/>
      <w:marRight w:val="0"/>
      <w:marTop w:val="0"/>
      <w:marBottom w:val="0"/>
      <w:divBdr>
        <w:top w:val="none" w:sz="0" w:space="0" w:color="auto"/>
        <w:left w:val="none" w:sz="0" w:space="0" w:color="auto"/>
        <w:bottom w:val="none" w:sz="0" w:space="0" w:color="auto"/>
        <w:right w:val="none" w:sz="0" w:space="0" w:color="auto"/>
      </w:divBdr>
      <w:divsChild>
        <w:div w:id="342056223">
          <w:marLeft w:val="0"/>
          <w:marRight w:val="0"/>
          <w:marTop w:val="0"/>
          <w:marBottom w:val="0"/>
          <w:divBdr>
            <w:top w:val="none" w:sz="0" w:space="0" w:color="auto"/>
            <w:left w:val="none" w:sz="0" w:space="0" w:color="auto"/>
            <w:bottom w:val="none" w:sz="0" w:space="0" w:color="auto"/>
            <w:right w:val="none" w:sz="0" w:space="0" w:color="auto"/>
          </w:divBdr>
        </w:div>
      </w:divsChild>
    </w:div>
    <w:div w:id="649210885">
      <w:bodyDiv w:val="1"/>
      <w:marLeft w:val="0"/>
      <w:marRight w:val="0"/>
      <w:marTop w:val="0"/>
      <w:marBottom w:val="0"/>
      <w:divBdr>
        <w:top w:val="none" w:sz="0" w:space="0" w:color="auto"/>
        <w:left w:val="none" w:sz="0" w:space="0" w:color="auto"/>
        <w:bottom w:val="none" w:sz="0" w:space="0" w:color="auto"/>
        <w:right w:val="none" w:sz="0" w:space="0" w:color="auto"/>
      </w:divBdr>
      <w:divsChild>
        <w:div w:id="1390111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8891018">
              <w:marLeft w:val="0"/>
              <w:marRight w:val="0"/>
              <w:marTop w:val="0"/>
              <w:marBottom w:val="0"/>
              <w:divBdr>
                <w:top w:val="none" w:sz="0" w:space="0" w:color="auto"/>
                <w:left w:val="none" w:sz="0" w:space="0" w:color="auto"/>
                <w:bottom w:val="none" w:sz="0" w:space="0" w:color="auto"/>
                <w:right w:val="none" w:sz="0" w:space="0" w:color="auto"/>
              </w:divBdr>
              <w:divsChild>
                <w:div w:id="85094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660228">
      <w:bodyDiv w:val="1"/>
      <w:marLeft w:val="0"/>
      <w:marRight w:val="0"/>
      <w:marTop w:val="0"/>
      <w:marBottom w:val="0"/>
      <w:divBdr>
        <w:top w:val="none" w:sz="0" w:space="0" w:color="auto"/>
        <w:left w:val="none" w:sz="0" w:space="0" w:color="auto"/>
        <w:bottom w:val="none" w:sz="0" w:space="0" w:color="auto"/>
        <w:right w:val="none" w:sz="0" w:space="0" w:color="auto"/>
      </w:divBdr>
    </w:div>
    <w:div w:id="791285316">
      <w:bodyDiv w:val="1"/>
      <w:marLeft w:val="0"/>
      <w:marRight w:val="0"/>
      <w:marTop w:val="0"/>
      <w:marBottom w:val="0"/>
      <w:divBdr>
        <w:top w:val="none" w:sz="0" w:space="0" w:color="auto"/>
        <w:left w:val="none" w:sz="0" w:space="0" w:color="auto"/>
        <w:bottom w:val="none" w:sz="0" w:space="0" w:color="auto"/>
        <w:right w:val="none" w:sz="0" w:space="0" w:color="auto"/>
      </w:divBdr>
      <w:divsChild>
        <w:div w:id="741877522">
          <w:marLeft w:val="0"/>
          <w:marRight w:val="0"/>
          <w:marTop w:val="0"/>
          <w:marBottom w:val="0"/>
          <w:divBdr>
            <w:top w:val="none" w:sz="0" w:space="0" w:color="auto"/>
            <w:left w:val="none" w:sz="0" w:space="0" w:color="auto"/>
            <w:bottom w:val="none" w:sz="0" w:space="0" w:color="auto"/>
            <w:right w:val="none" w:sz="0" w:space="0" w:color="auto"/>
          </w:divBdr>
        </w:div>
        <w:div w:id="1902524264">
          <w:marLeft w:val="0"/>
          <w:marRight w:val="0"/>
          <w:marTop w:val="0"/>
          <w:marBottom w:val="0"/>
          <w:divBdr>
            <w:top w:val="none" w:sz="0" w:space="0" w:color="auto"/>
            <w:left w:val="none" w:sz="0" w:space="0" w:color="auto"/>
            <w:bottom w:val="none" w:sz="0" w:space="0" w:color="auto"/>
            <w:right w:val="none" w:sz="0" w:space="0" w:color="auto"/>
          </w:divBdr>
        </w:div>
        <w:div w:id="659624666">
          <w:marLeft w:val="0"/>
          <w:marRight w:val="0"/>
          <w:marTop w:val="0"/>
          <w:marBottom w:val="0"/>
          <w:divBdr>
            <w:top w:val="none" w:sz="0" w:space="0" w:color="auto"/>
            <w:left w:val="none" w:sz="0" w:space="0" w:color="auto"/>
            <w:bottom w:val="none" w:sz="0" w:space="0" w:color="auto"/>
            <w:right w:val="none" w:sz="0" w:space="0" w:color="auto"/>
          </w:divBdr>
        </w:div>
        <w:div w:id="1025788397">
          <w:marLeft w:val="0"/>
          <w:marRight w:val="0"/>
          <w:marTop w:val="0"/>
          <w:marBottom w:val="0"/>
          <w:divBdr>
            <w:top w:val="none" w:sz="0" w:space="0" w:color="auto"/>
            <w:left w:val="none" w:sz="0" w:space="0" w:color="auto"/>
            <w:bottom w:val="none" w:sz="0" w:space="0" w:color="auto"/>
            <w:right w:val="none" w:sz="0" w:space="0" w:color="auto"/>
          </w:divBdr>
        </w:div>
        <w:div w:id="754741991">
          <w:marLeft w:val="0"/>
          <w:marRight w:val="0"/>
          <w:marTop w:val="0"/>
          <w:marBottom w:val="0"/>
          <w:divBdr>
            <w:top w:val="none" w:sz="0" w:space="0" w:color="auto"/>
            <w:left w:val="none" w:sz="0" w:space="0" w:color="auto"/>
            <w:bottom w:val="none" w:sz="0" w:space="0" w:color="auto"/>
            <w:right w:val="none" w:sz="0" w:space="0" w:color="auto"/>
          </w:divBdr>
        </w:div>
      </w:divsChild>
    </w:div>
    <w:div w:id="797141566">
      <w:bodyDiv w:val="1"/>
      <w:marLeft w:val="0"/>
      <w:marRight w:val="0"/>
      <w:marTop w:val="0"/>
      <w:marBottom w:val="0"/>
      <w:divBdr>
        <w:top w:val="none" w:sz="0" w:space="0" w:color="auto"/>
        <w:left w:val="none" w:sz="0" w:space="0" w:color="auto"/>
        <w:bottom w:val="none" w:sz="0" w:space="0" w:color="auto"/>
        <w:right w:val="none" w:sz="0" w:space="0" w:color="auto"/>
      </w:divBdr>
    </w:div>
    <w:div w:id="885288511">
      <w:bodyDiv w:val="1"/>
      <w:marLeft w:val="0"/>
      <w:marRight w:val="0"/>
      <w:marTop w:val="0"/>
      <w:marBottom w:val="0"/>
      <w:divBdr>
        <w:top w:val="none" w:sz="0" w:space="0" w:color="auto"/>
        <w:left w:val="none" w:sz="0" w:space="0" w:color="auto"/>
        <w:bottom w:val="none" w:sz="0" w:space="0" w:color="auto"/>
        <w:right w:val="none" w:sz="0" w:space="0" w:color="auto"/>
      </w:divBdr>
    </w:div>
    <w:div w:id="1054626268">
      <w:bodyDiv w:val="1"/>
      <w:marLeft w:val="0"/>
      <w:marRight w:val="0"/>
      <w:marTop w:val="0"/>
      <w:marBottom w:val="0"/>
      <w:divBdr>
        <w:top w:val="none" w:sz="0" w:space="0" w:color="auto"/>
        <w:left w:val="none" w:sz="0" w:space="0" w:color="auto"/>
        <w:bottom w:val="none" w:sz="0" w:space="0" w:color="auto"/>
        <w:right w:val="none" w:sz="0" w:space="0" w:color="auto"/>
      </w:divBdr>
    </w:div>
    <w:div w:id="1137407219">
      <w:bodyDiv w:val="1"/>
      <w:marLeft w:val="0"/>
      <w:marRight w:val="0"/>
      <w:marTop w:val="0"/>
      <w:marBottom w:val="0"/>
      <w:divBdr>
        <w:top w:val="none" w:sz="0" w:space="0" w:color="auto"/>
        <w:left w:val="none" w:sz="0" w:space="0" w:color="auto"/>
        <w:bottom w:val="none" w:sz="0" w:space="0" w:color="auto"/>
        <w:right w:val="none" w:sz="0" w:space="0" w:color="auto"/>
      </w:divBdr>
    </w:div>
    <w:div w:id="1206792977">
      <w:bodyDiv w:val="1"/>
      <w:marLeft w:val="0"/>
      <w:marRight w:val="0"/>
      <w:marTop w:val="0"/>
      <w:marBottom w:val="0"/>
      <w:divBdr>
        <w:top w:val="none" w:sz="0" w:space="0" w:color="auto"/>
        <w:left w:val="none" w:sz="0" w:space="0" w:color="auto"/>
        <w:bottom w:val="none" w:sz="0" w:space="0" w:color="auto"/>
        <w:right w:val="none" w:sz="0" w:space="0" w:color="auto"/>
      </w:divBdr>
      <w:divsChild>
        <w:div w:id="1218935648">
          <w:marLeft w:val="0"/>
          <w:marRight w:val="0"/>
          <w:marTop w:val="0"/>
          <w:marBottom w:val="0"/>
          <w:divBdr>
            <w:top w:val="none" w:sz="0" w:space="0" w:color="auto"/>
            <w:left w:val="none" w:sz="0" w:space="0" w:color="auto"/>
            <w:bottom w:val="none" w:sz="0" w:space="0" w:color="auto"/>
            <w:right w:val="none" w:sz="0" w:space="0" w:color="auto"/>
          </w:divBdr>
        </w:div>
        <w:div w:id="815074819">
          <w:marLeft w:val="0"/>
          <w:marRight w:val="0"/>
          <w:marTop w:val="0"/>
          <w:marBottom w:val="0"/>
          <w:divBdr>
            <w:top w:val="none" w:sz="0" w:space="0" w:color="auto"/>
            <w:left w:val="none" w:sz="0" w:space="0" w:color="auto"/>
            <w:bottom w:val="none" w:sz="0" w:space="0" w:color="auto"/>
            <w:right w:val="none" w:sz="0" w:space="0" w:color="auto"/>
          </w:divBdr>
        </w:div>
        <w:div w:id="429082124">
          <w:marLeft w:val="0"/>
          <w:marRight w:val="0"/>
          <w:marTop w:val="0"/>
          <w:marBottom w:val="0"/>
          <w:divBdr>
            <w:top w:val="none" w:sz="0" w:space="0" w:color="auto"/>
            <w:left w:val="none" w:sz="0" w:space="0" w:color="auto"/>
            <w:bottom w:val="none" w:sz="0" w:space="0" w:color="auto"/>
            <w:right w:val="none" w:sz="0" w:space="0" w:color="auto"/>
          </w:divBdr>
        </w:div>
      </w:divsChild>
    </w:div>
    <w:div w:id="1545870030">
      <w:bodyDiv w:val="1"/>
      <w:marLeft w:val="0"/>
      <w:marRight w:val="0"/>
      <w:marTop w:val="0"/>
      <w:marBottom w:val="0"/>
      <w:divBdr>
        <w:top w:val="none" w:sz="0" w:space="0" w:color="auto"/>
        <w:left w:val="none" w:sz="0" w:space="0" w:color="auto"/>
        <w:bottom w:val="none" w:sz="0" w:space="0" w:color="auto"/>
        <w:right w:val="none" w:sz="0" w:space="0" w:color="auto"/>
      </w:divBdr>
    </w:div>
    <w:div w:id="1551573712">
      <w:bodyDiv w:val="1"/>
      <w:marLeft w:val="0"/>
      <w:marRight w:val="0"/>
      <w:marTop w:val="0"/>
      <w:marBottom w:val="0"/>
      <w:divBdr>
        <w:top w:val="none" w:sz="0" w:space="0" w:color="auto"/>
        <w:left w:val="none" w:sz="0" w:space="0" w:color="auto"/>
        <w:bottom w:val="none" w:sz="0" w:space="0" w:color="auto"/>
        <w:right w:val="none" w:sz="0" w:space="0" w:color="auto"/>
      </w:divBdr>
    </w:div>
    <w:div w:id="1741369949">
      <w:bodyDiv w:val="1"/>
      <w:marLeft w:val="0"/>
      <w:marRight w:val="0"/>
      <w:marTop w:val="0"/>
      <w:marBottom w:val="0"/>
      <w:divBdr>
        <w:top w:val="none" w:sz="0" w:space="0" w:color="auto"/>
        <w:left w:val="none" w:sz="0" w:space="0" w:color="auto"/>
        <w:bottom w:val="none" w:sz="0" w:space="0" w:color="auto"/>
        <w:right w:val="none" w:sz="0" w:space="0" w:color="auto"/>
      </w:divBdr>
    </w:div>
    <w:div w:id="2019189609">
      <w:bodyDiv w:val="1"/>
      <w:marLeft w:val="0"/>
      <w:marRight w:val="0"/>
      <w:marTop w:val="0"/>
      <w:marBottom w:val="0"/>
      <w:divBdr>
        <w:top w:val="none" w:sz="0" w:space="0" w:color="auto"/>
        <w:left w:val="none" w:sz="0" w:space="0" w:color="auto"/>
        <w:bottom w:val="none" w:sz="0" w:space="0" w:color="auto"/>
        <w:right w:val="none" w:sz="0" w:space="0" w:color="auto"/>
      </w:divBdr>
    </w:div>
    <w:div w:id="2094160129">
      <w:bodyDiv w:val="1"/>
      <w:marLeft w:val="0"/>
      <w:marRight w:val="0"/>
      <w:marTop w:val="0"/>
      <w:marBottom w:val="0"/>
      <w:divBdr>
        <w:top w:val="none" w:sz="0" w:space="0" w:color="auto"/>
        <w:left w:val="none" w:sz="0" w:space="0" w:color="auto"/>
        <w:bottom w:val="none" w:sz="0" w:space="0" w:color="auto"/>
        <w:right w:val="none" w:sz="0" w:space="0" w:color="auto"/>
      </w:divBdr>
      <w:divsChild>
        <w:div w:id="884487208">
          <w:marLeft w:val="0"/>
          <w:marRight w:val="0"/>
          <w:marTop w:val="0"/>
          <w:marBottom w:val="0"/>
          <w:divBdr>
            <w:top w:val="none" w:sz="0" w:space="0" w:color="auto"/>
            <w:left w:val="none" w:sz="0" w:space="0" w:color="auto"/>
            <w:bottom w:val="none" w:sz="0" w:space="0" w:color="auto"/>
            <w:right w:val="none" w:sz="0" w:space="0" w:color="auto"/>
          </w:divBdr>
        </w:div>
        <w:div w:id="129712664">
          <w:marLeft w:val="0"/>
          <w:marRight w:val="0"/>
          <w:marTop w:val="0"/>
          <w:marBottom w:val="0"/>
          <w:divBdr>
            <w:top w:val="none" w:sz="0" w:space="0" w:color="auto"/>
            <w:left w:val="none" w:sz="0" w:space="0" w:color="auto"/>
            <w:bottom w:val="none" w:sz="0" w:space="0" w:color="auto"/>
            <w:right w:val="none" w:sz="0" w:space="0" w:color="auto"/>
          </w:divBdr>
        </w:div>
        <w:div w:id="595599326">
          <w:marLeft w:val="0"/>
          <w:marRight w:val="0"/>
          <w:marTop w:val="0"/>
          <w:marBottom w:val="0"/>
          <w:divBdr>
            <w:top w:val="none" w:sz="0" w:space="0" w:color="auto"/>
            <w:left w:val="none" w:sz="0" w:space="0" w:color="auto"/>
            <w:bottom w:val="none" w:sz="0" w:space="0" w:color="auto"/>
            <w:right w:val="none" w:sz="0" w:space="0" w:color="auto"/>
          </w:divBdr>
        </w:div>
        <w:div w:id="4827466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eistcc.support@gsa.gov"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E63F1AB657DEB4C926C3FB699F95E04" ma:contentTypeVersion="12" ma:contentTypeDescription="Create a new document." ma:contentTypeScope="" ma:versionID="e5d742af5b35837f95cdb30a67c34bec">
  <xsd:schema xmlns:xsd="http://www.w3.org/2001/XMLSchema" xmlns:xs="http://www.w3.org/2001/XMLSchema" xmlns:p="http://schemas.microsoft.com/office/2006/metadata/properties" xmlns:ns1="http://schemas.microsoft.com/sharepoint/v3" xmlns:ns3="7d8405fb-f656-4052-a7f8-702a302874b5" targetNamespace="http://schemas.microsoft.com/office/2006/metadata/properties" ma:root="true" ma:fieldsID="a77c4c75c9e0e699e98a255aafa9a271" ns1:_="" ns3:_="">
    <xsd:import namespace="http://schemas.microsoft.com/sharepoint/v3"/>
    <xsd:import namespace="7d8405fb-f656-4052-a7f8-702a302874b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8405fb-f656-4052-a7f8-702a302874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2AF2C-9809-4852-82DA-189E44FDCA3D}">
  <ds:schemaRefs>
    <ds:schemaRef ds:uri="http://schemas.microsoft.com/sharepoint/v3/contenttype/forms"/>
  </ds:schemaRefs>
</ds:datastoreItem>
</file>

<file path=customXml/itemProps2.xml><?xml version="1.0" encoding="utf-8"?>
<ds:datastoreItem xmlns:ds="http://schemas.openxmlformats.org/officeDocument/2006/customXml" ds:itemID="{6046C1EF-88D0-49FA-A850-1324B9961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d8405fb-f656-4052-a7f8-702a302874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4DFC5B-A58A-418E-8A2A-874FEFB3AF5B}">
  <ds:schemaRefs>
    <ds:schemaRef ds:uri="http://schemas.microsoft.com/office/2006/documentManagement/type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7d8405fb-f656-4052-a7f8-702a302874b5"/>
    <ds:schemaRef ds:uri="http://www.w3.org/XML/1998/namespace"/>
  </ds:schemaRefs>
</ds:datastoreItem>
</file>

<file path=customXml/itemProps4.xml><?xml version="1.0" encoding="utf-8"?>
<ds:datastoreItem xmlns:ds="http://schemas.openxmlformats.org/officeDocument/2006/customXml" ds:itemID="{03E429C0-DC1C-4B3B-8B1A-B6E5D5D45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551</Words>
  <Characters>3142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General Services Administration</Company>
  <LinksUpToDate>false</LinksUpToDate>
  <CharactersWithSpaces>3686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Harold C. Hamby</dc:creator>
  <cp:lastModifiedBy>AprilRamey</cp:lastModifiedBy>
  <cp:revision>2</cp:revision>
  <dcterms:created xsi:type="dcterms:W3CDTF">2020-11-20T16:23:00Z</dcterms:created>
  <dcterms:modified xsi:type="dcterms:W3CDTF">2020-11-20T16:23:00Z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0x0101000E63F1AB657DEB4C926C3FB699F95E04</vt:lpwstr>
  </property>
  <property fmtid="{D5CDD505-2E9C-101B-9397-08002B2CF9AE}" pid="3" name="MSIP_Label_dc37d895-22dd-48a1-81e7-0a401da86d25_Enabled">
    <vt:lpwstr>True</vt:lpwstr>
  </property>
  <property fmtid="{D5CDD505-2E9C-101B-9397-08002B2CF9AE}" pid="4" name="MSIP_Label_dc37d895-22dd-48a1-81e7-0a401da86d25_SiteId">
    <vt:lpwstr>3e59bf4d-085e-4478-8a1d-6d922a8bd919</vt:lpwstr>
  </property>
  <property fmtid="{D5CDD505-2E9C-101B-9397-08002B2CF9AE}" pid="5" name="MSIP_Label_dc37d895-22dd-48a1-81e7-0a401da86d25_SetDate">
    <vt:lpwstr>2020-01-21T22:04:10.0686586Z</vt:lpwstr>
  </property>
  <property fmtid="{D5CDD505-2E9C-101B-9397-08002B2CF9AE}" pid="6" name="MSIP_Label_dc37d895-22dd-48a1-81e7-0a401da86d25_Name">
    <vt:lpwstr>No Restrictions</vt:lpwstr>
  </property>
  <property fmtid="{D5CDD505-2E9C-101B-9397-08002B2CF9AE}" pid="7" name="MSIP_Label_dc37d895-22dd-48a1-81e7-0a401da86d25_ActionId">
    <vt:lpwstr>e48313b1-8ca4-4f8d-9676-dc7abc11d860</vt:lpwstr>
  </property>
  <property fmtid="{D5CDD505-2E9C-101B-9397-08002B2CF9AE}" pid="8" name="MSIP_Label_dc37d895-22dd-48a1-81e7-0a401da86d25_Extended_MSFT_Method">
    <vt:lpwstr>Automatic</vt:lpwstr>
  </property>
  <property fmtid="{D5CDD505-2E9C-101B-9397-08002B2CF9AE}" pid="9" name="Sensitivity">
    <vt:lpwstr>No Restrictions</vt:lpwstr>
  </property>
</Properties>
</file>